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4"/>
          <w:sz w:val="24"/>
          <w:szCs w:val="24"/>
          <w:rFonts w:ascii="Liberation Serif" w:hAnsi="Liberation Serif" w:eastAsia="SimSun" w:cs="Mangal"/>
          <w:color w:val="00000A"/>
          <w:lang w:val="pt-BR" w:eastAsia="zh-CN" w:bidi="hi-IN"/>
        </w:rPr>
      </w:pPr>
      <w:r>
        <w:rPr/>
      </w:r>
      <w:r/>
    </w:p>
    <w:tbl>
      <w:tblPr>
        <w:tblW w:w="12810" w:type="dxa"/>
        <w:jc w:val="left"/>
        <w:tblInd w:w="2075"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28" w:type="dxa"/>
          <w:left w:w="98" w:type="dxa"/>
          <w:bottom w:w="28" w:type="dxa"/>
          <w:right w:w="108" w:type="dxa"/>
        </w:tblCellMar>
      </w:tblPr>
      <w:tblGrid>
        <w:gridCol w:w="120"/>
        <w:gridCol w:w="393"/>
        <w:gridCol w:w="1849"/>
        <w:gridCol w:w="93"/>
        <w:gridCol w:w="74"/>
        <w:gridCol w:w="52"/>
        <w:gridCol w:w="36"/>
        <w:gridCol w:w="166"/>
        <w:gridCol w:w="810"/>
        <w:gridCol w:w="131"/>
        <w:gridCol w:w="81"/>
        <w:gridCol w:w="58"/>
        <w:gridCol w:w="72"/>
        <w:gridCol w:w="56"/>
        <w:gridCol w:w="229"/>
        <w:gridCol w:w="111"/>
        <w:gridCol w:w="277"/>
        <w:gridCol w:w="112"/>
        <w:gridCol w:w="1243"/>
        <w:gridCol w:w="70"/>
        <w:gridCol w:w="651"/>
        <w:gridCol w:w="47"/>
        <w:gridCol w:w="32"/>
        <w:gridCol w:w="47"/>
        <w:gridCol w:w="107"/>
        <w:gridCol w:w="46"/>
        <w:gridCol w:w="35"/>
        <w:gridCol w:w="48"/>
        <w:gridCol w:w="888"/>
        <w:gridCol w:w="1"/>
        <w:gridCol w:w="31"/>
        <w:gridCol w:w="60"/>
        <w:gridCol w:w="1"/>
        <w:gridCol w:w="31"/>
        <w:gridCol w:w="34"/>
        <w:gridCol w:w="1"/>
        <w:gridCol w:w="92"/>
        <w:gridCol w:w="1"/>
        <w:gridCol w:w="2"/>
        <w:gridCol w:w="129"/>
        <w:gridCol w:w="98"/>
        <w:gridCol w:w="651"/>
        <w:gridCol w:w="520"/>
        <w:gridCol w:w="3164"/>
        <w:gridCol w:w="30"/>
        <w:gridCol w:w="30"/>
      </w:tblGrid>
      <w:tr>
        <w:trPr/>
        <w:tc>
          <w:tcPr>
            <w:tcW w:w="12810" w:type="dxa"/>
            <w:gridSpan w:val="4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6600" w:val="clear"/>
            <w:tcMar>
              <w:left w:w="98" w:type="dxa"/>
            </w:tcMar>
            <w:vAlign w:val="bottom"/>
          </w:tcPr>
          <w:p>
            <w:pPr>
              <w:pStyle w:val="Contedodatabela"/>
              <w:ind w:left="0" w:right="29" w:hanging="0"/>
              <w:rPr>
                <w:sz w:val="4"/>
                <w:sz w:val="4"/>
                <w:szCs w:val="4"/>
                <w:rFonts w:ascii="Liberation Serif" w:hAnsi="Liberation Serif" w:eastAsia="SimSun" w:cs="Mangal"/>
                <w:color w:val="00000A"/>
                <w:lang w:val="pt-BR" w:eastAsia="zh-CN" w:bidi="hi-IN"/>
              </w:rPr>
            </w:pPr>
            <w:r>
              <w:rPr>
                <w:sz w:val="4"/>
                <w:szCs w:val="4"/>
              </w:rPr>
            </w:r>
            <w:r/>
          </w:p>
        </w:tc>
      </w:tr>
      <w:tr>
        <w:trPr/>
        <w:tc>
          <w:tcPr>
            <w:tcW w:w="9066" w:type="dxa"/>
            <w:gridSpan w:val="4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Contedodatabela"/>
              <w:spacing w:lineRule="auto" w:line="360" w:before="0" w:after="0"/>
              <w:ind w:left="141" w:right="0" w:firstLine="141"/>
              <w:jc w:val="both"/>
              <w:rPr>
                <w:smallCaps/>
                <w:sz w:val="34"/>
                <w:sz w:val="34"/>
                <w:rFonts w:ascii="Century Gothic;sans-serif" w:hAnsi="Century Gothic;sans-serif"/>
              </w:rPr>
            </w:pPr>
            <w:r>
              <w:rPr>
                <w:rFonts w:ascii="Century Gothic;sans-serif" w:hAnsi="Century Gothic;sans-serif"/>
                <w:smallCaps/>
                <w:sz w:val="34"/>
              </w:rPr>
              <w:t>Tribunal de Justiça do Estado de São Paulo</w:t>
            </w:r>
            <w:r/>
          </w:p>
          <w:p>
            <w:pPr>
              <w:pStyle w:val="Contedodatabela"/>
              <w:spacing w:lineRule="auto" w:line="360" w:before="0" w:after="0"/>
              <w:ind w:left="720" w:right="0" w:firstLine="141"/>
              <w:jc w:val="both"/>
              <w:rPr>
                <w:smallCaps/>
                <w:sz w:val="36"/>
                <w:sz w:val="36"/>
                <w:rFonts w:ascii="Century Gothic;sans-serif" w:hAnsi="Century Gothic;sans-serif"/>
              </w:rPr>
            </w:pPr>
            <w:r>
              <w:rPr>
                <w:rFonts w:ascii="Century Gothic;sans-serif" w:hAnsi="Century Gothic;sans-serif"/>
                <w:smallCaps/>
                <w:sz w:val="36"/>
              </w:rPr>
              <w:t>Coordenadoria da Infância e da Juventude</w:t>
            </w:r>
            <w:r/>
          </w:p>
        </w:tc>
        <w:tc>
          <w:tcPr>
            <w:tcW w:w="3744" w:type="dxa"/>
            <w:gridSpan w:val="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C000" w:val="clear"/>
            <w:tcMar>
              <w:left w:w="98" w:type="dxa"/>
            </w:tcMar>
            <w:vAlign w:val="center"/>
          </w:tcPr>
          <w:p>
            <w:pPr>
              <w:pStyle w:val="Contedodatabela"/>
              <w:spacing w:lineRule="auto" w:line="360" w:before="0" w:after="0"/>
              <w:jc w:val="center"/>
            </w:pPr>
            <w:r>
              <w:rPr>
                <w:rFonts w:ascii="Century Gothic;sans-serif" w:hAnsi="Century Gothic;sans-serif"/>
                <w:b/>
                <w:smallCaps/>
                <w:color w:val="FFFFFF"/>
                <w:sz w:val="36"/>
              </w:rPr>
              <w:t>N.º</w:t>
            </w:r>
            <w:r>
              <w:rPr>
                <w:smallCaps/>
                <w:color w:val="FFFFFF"/>
              </w:rPr>
              <w:t xml:space="preserve"> </w:t>
            </w:r>
            <w:r>
              <w:rPr>
                <w:rFonts w:ascii="Century Gothic;sans-serif" w:hAnsi="Century Gothic;sans-serif"/>
                <w:b/>
                <w:smallCaps/>
                <w:color w:val="FFFFFF"/>
                <w:sz w:val="40"/>
              </w:rPr>
              <w:t>15</w:t>
            </w:r>
            <w:r/>
          </w:p>
        </w:tc>
      </w:tr>
      <w:tr>
        <w:trPr/>
        <w:tc>
          <w:tcPr>
            <w:tcW w:w="12810" w:type="dxa"/>
            <w:gridSpan w:val="4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0"/>
                <w:lang w:val="pt-BR" w:eastAsia="zh-CN" w:bidi="hi-IN"/>
              </w:rPr>
            </w:pPr>
            <w:r>
              <w:rPr>
                <w:color w:val="000000"/>
                <w:sz w:val="4"/>
                <w:szCs w:val="4"/>
              </w:rPr>
            </w:r>
            <w:r/>
          </w:p>
        </w:tc>
      </w:tr>
      <w:tr>
        <w:trPr/>
        <w:tc>
          <w:tcPr>
            <w:tcW w:w="9586" w:type="dxa"/>
            <w:gridSpan w:val="4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5C0B" w:val="clear"/>
            <w:tcMar>
              <w:left w:w="98" w:type="dxa"/>
            </w:tcMar>
            <w:vAlign w:val="center"/>
          </w:tcPr>
          <w:p>
            <w:pPr>
              <w:pStyle w:val="Ttulo4"/>
              <w:spacing w:before="120" w:after="120"/>
              <w:ind w:left="0" w:right="29" w:hanging="0"/>
              <w:jc w:val="right"/>
              <w:rPr>
                <w:smallCaps/>
                <w:sz w:val="24"/>
                <w:b/>
                <w:sz w:val="24"/>
                <w:b/>
                <w:szCs w:val="24"/>
                <w:bCs/>
                <w:rFonts w:ascii="Century Gothic;sans-serif" w:hAnsi="Century Gothic;sans-serif" w:eastAsia="SimSun" w:cs="Mangal"/>
                <w:color w:val="808080"/>
              </w:rPr>
            </w:pPr>
            <w:r>
              <w:rPr>
                <w:rFonts w:ascii="Century Gothic;sans-serif" w:hAnsi="Century Gothic;sans-serif"/>
                <w:b/>
                <w:smallCaps/>
                <w:color w:val="000000"/>
                <w:sz w:val="22"/>
              </w:rPr>
              <w:t>Informativo de Jurisprudência da Câmara Especial</w:t>
            </w:r>
            <w:r/>
          </w:p>
        </w:tc>
        <w:tc>
          <w:tcPr>
            <w:tcW w:w="3224"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404040" w:val="clear"/>
            <w:tcMar>
              <w:left w:w="98" w:type="dxa"/>
            </w:tcMar>
          </w:tcPr>
          <w:p>
            <w:pPr>
              <w:pStyle w:val="Ttulo4"/>
              <w:spacing w:before="0" w:after="0"/>
              <w:ind w:left="0" w:right="29" w:hanging="0"/>
              <w:jc w:val="center"/>
            </w:pPr>
            <w:r>
              <w:rPr>
                <w:rFonts w:ascii="Century Gothic;sans-serif" w:hAnsi="Century Gothic;sans-serif"/>
                <w:b/>
                <w:color w:val="FFFFFF"/>
                <w:lang w:val="en-US"/>
              </w:rPr>
              <w:t xml:space="preserve">15 </w:t>
            </w:r>
            <w:r>
              <w:rPr>
                <w:rFonts w:ascii="Century Gothic;sans-serif" w:hAnsi="Century Gothic;sans-serif"/>
                <w:b/>
                <w:smallCaps/>
                <w:color w:val="FFFFFF"/>
                <w:lang w:val="en-US"/>
              </w:rPr>
              <w:t>de Maio de</w:t>
            </w:r>
            <w:r>
              <w:rPr>
                <w:color w:val="FFFFFF"/>
              </w:rPr>
              <w:t xml:space="preserve"> </w:t>
            </w:r>
            <w:r>
              <w:rPr>
                <w:rFonts w:ascii="Century Gothic;sans-serif" w:hAnsi="Century Gothic;sans-serif"/>
                <w:b/>
                <w:color w:val="FFFFFF"/>
                <w:lang w:val="en-US"/>
              </w:rPr>
              <w:t>2015</w:t>
            </w:r>
            <w:r/>
          </w:p>
        </w:tc>
      </w:tr>
      <w:tr>
        <w:trPr/>
        <w:tc>
          <w:tcPr>
            <w:tcW w:w="12810" w:type="dxa"/>
            <w:gridSpan w:val="4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r>
      <w:tr>
        <w:trPr/>
        <w:tc>
          <w:tcPr>
            <w:tcW w:w="2455" w:type="dxa"/>
            <w:gridSpan w:val="4"/>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6600" w:val="clear"/>
            <w:tcMar>
              <w:left w:w="98" w:type="dxa"/>
            </w:tcMar>
            <w:vAlign w:val="center"/>
          </w:tcPr>
          <w:p>
            <w:pPr>
              <w:pStyle w:val="Contedodatabela"/>
              <w:spacing w:before="0" w:after="0"/>
              <w:ind w:left="113" w:right="113" w:hanging="0"/>
              <w:jc w:val="center"/>
              <w:rPr>
                <w:smallCaps/>
                <w:sz w:val="40"/>
                <w:b/>
                <w:sz w:val="40"/>
                <w:b/>
                <w:rFonts w:ascii="Century Gothic;sans-serif" w:hAnsi="Century Gothic;sans-serif"/>
                <w:color w:val="FFFFFF"/>
              </w:rPr>
            </w:pPr>
            <w:r>
              <w:rPr>
                <w:rFonts w:ascii="Century Gothic;sans-serif" w:hAnsi="Century Gothic;sans-serif"/>
                <w:b/>
                <w:smallCaps/>
                <w:color w:val="FFFFFF"/>
                <w:sz w:val="40"/>
              </w:rPr>
              <w:t>Adoção</w:t>
            </w:r>
            <w:r/>
          </w:p>
        </w:tc>
        <w:tc>
          <w:tcPr>
            <w:tcW w:w="162" w:type="dxa"/>
            <w:gridSpan w:val="3"/>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10193" w:type="dxa"/>
            <w:gridSpan w:val="39"/>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99" w:val="clear"/>
            <w:tcMar>
              <w:left w:w="98" w:type="dxa"/>
            </w:tcMar>
          </w:tcPr>
          <w:p>
            <w:pPr>
              <w:pStyle w:val="Contedodatabela"/>
              <w:spacing w:lineRule="auto" w:line="360" w:before="0" w:after="0"/>
              <w:jc w:val="both"/>
            </w:pPr>
            <w:r>
              <w:rPr>
                <w:rFonts w:ascii="Century Gothic;sans-serif" w:hAnsi="Century Gothic;sans-serif"/>
                <w:sz w:val="22"/>
              </w:rPr>
              <w:t xml:space="preserve">Exclusão de cadastro de pretendentes à adoção. </w:t>
            </w:r>
            <w:r>
              <w:rPr>
                <w:rFonts w:ascii="Century Gothic;sans-serif" w:hAnsi="Century Gothic;sans-serif"/>
                <w:b/>
                <w:sz w:val="22"/>
              </w:rPr>
              <w:t>Casal que pleiteia, em outra comarca, adoção de menor que já se encontra sob sua guarda de fato.</w:t>
            </w:r>
            <w:r>
              <w:rPr>
                <w:rFonts w:ascii="Century Gothic;sans-serif" w:hAnsi="Century Gothic;sans-serif"/>
                <w:sz w:val="22"/>
              </w:rPr>
              <w:t xml:space="preserve"> Ação de guarda c.c. adoção e destituição do poder familiar em trâmite após reforma da sentença que havia indeferido a inicial. Argumento de que a Intenção do casal, no momento, é de adoção apenas da criança que se encontra sob sua guarda. </w:t>
            </w:r>
            <w:r>
              <w:rPr>
                <w:rFonts w:ascii="Century Gothic;sans-serif" w:hAnsi="Century Gothic;sans-serif"/>
                <w:b/>
                <w:sz w:val="22"/>
              </w:rPr>
              <w:t>Fato que não é suficiente para a exclusão determinada nos autos. Sentença reformada para manter o casal no cadastro de pretendentes à adoção.</w:t>
            </w:r>
            <w:r>
              <w:rPr>
                <w:rFonts w:ascii="Century Gothic;sans-serif" w:hAnsi="Century Gothic;sans-serif"/>
                <w:sz w:val="22"/>
              </w:rPr>
              <w:t xml:space="preserve"> </w:t>
            </w:r>
            <w:r/>
          </w:p>
        </w:tc>
      </w:tr>
      <w:tr>
        <w:trPr/>
        <w:tc>
          <w:tcPr>
            <w:tcW w:w="2455" w:type="dxa"/>
            <w:gridSpan w:val="4"/>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6600"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162" w:type="dxa"/>
            <w:gridSpan w:val="3"/>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10193" w:type="dxa"/>
            <w:gridSpan w:val="39"/>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ind w:left="0" w:right="0" w:hanging="0"/>
              <w:rPr>
                <w:sz w:val="4"/>
                <w:sz w:val="4"/>
                <w:szCs w:val="4"/>
                <w:rFonts w:ascii="Liberation Serif" w:hAnsi="Liberation Serif" w:eastAsia="SimSun" w:cs="Mangal"/>
                <w:color w:val="00000A"/>
                <w:lang w:val="pt-BR" w:eastAsia="zh-CN" w:bidi="hi-IN"/>
              </w:rPr>
            </w:pPr>
            <w:r>
              <w:rPr>
                <w:sz w:val="4"/>
                <w:szCs w:val="4"/>
              </w:rPr>
            </w:r>
            <w:r/>
          </w:p>
        </w:tc>
      </w:tr>
      <w:tr>
        <w:trPr/>
        <w:tc>
          <w:tcPr>
            <w:tcW w:w="2455" w:type="dxa"/>
            <w:gridSpan w:val="4"/>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6600"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162" w:type="dxa"/>
            <w:gridSpan w:val="3"/>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10193" w:type="dxa"/>
            <w:gridSpan w:val="39"/>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5C0B" w:val="clear"/>
            <w:tcMar>
              <w:left w:w="98" w:type="dxa"/>
            </w:tcMar>
          </w:tcPr>
          <w:p>
            <w:pPr>
              <w:pStyle w:val="Contedodatabela"/>
              <w:spacing w:before="0" w:after="283"/>
              <w:ind w:left="0" w:right="0" w:hanging="0"/>
              <w:jc w:val="left"/>
              <w:rPr>
                <w:sz w:val="20"/>
                <w:sz w:val="20"/>
                <w:rFonts w:ascii="Century Gothic;sans-serif" w:hAnsi="Century Gothic;sans-serif"/>
                <w:color w:val="FFFFFF"/>
              </w:rPr>
            </w:pPr>
            <w:r>
              <w:rPr>
                <w:rFonts w:ascii="Century Gothic;sans-serif" w:hAnsi="Century Gothic;sans-serif"/>
                <w:color w:val="FFFFFF"/>
                <w:sz w:val="20"/>
              </w:rPr>
              <w:t>Apelação nº 0019370-92.2010.8.26.0008. Rel. Pinheiro Franco. J. 13.04.2015</w:t>
            </w:r>
            <w:r/>
          </w:p>
          <w:p>
            <w:pPr>
              <w:pStyle w:val="Contedodatabela"/>
              <w:spacing w:before="0" w:after="283"/>
              <w:ind w:left="0" w:right="0" w:hanging="0"/>
              <w:jc w:val="left"/>
            </w:pPr>
            <w:r>
              <w:rPr>
                <w:rFonts w:ascii="Century Gothic;sans-serif" w:hAnsi="Century Gothic;sans-serif"/>
                <w:color w:val="FFFFFF"/>
                <w:sz w:val="20"/>
              </w:rPr>
              <w:t>In</w:t>
            </w:r>
            <w:r>
              <w:rPr>
                <w:smallCaps/>
              </w:rPr>
              <w:t xml:space="preserve"> </w:t>
            </w:r>
            <w:r/>
          </w:p>
        </w:tc>
      </w:tr>
      <w:tr>
        <w:trPr/>
        <w:tc>
          <w:tcPr>
            <w:tcW w:w="8188" w:type="dxa"/>
            <w:gridSpan w:val="39"/>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99" w:val="clear"/>
            <w:tcMar>
              <w:left w:w="98" w:type="dxa"/>
            </w:tcMar>
          </w:tcPr>
          <w:p>
            <w:pPr>
              <w:pStyle w:val="Contedodatabela"/>
              <w:spacing w:lineRule="auto" w:line="360" w:before="0" w:after="0"/>
              <w:jc w:val="both"/>
            </w:pPr>
            <w:r>
              <w:rPr>
                <w:rFonts w:ascii="Century Gothic;sans-serif" w:hAnsi="Century Gothic;sans-serif"/>
                <w:color w:val="000000"/>
                <w:sz w:val="22"/>
              </w:rPr>
              <w:t xml:space="preserve">Ação de guarda. </w:t>
            </w:r>
            <w:r>
              <w:rPr>
                <w:rFonts w:ascii="Century Gothic;sans-serif" w:hAnsi="Century Gothic;sans-serif"/>
                <w:b/>
                <w:color w:val="000000"/>
                <w:sz w:val="22"/>
              </w:rPr>
              <w:t>Insurgência manifesta contra decisão que concedeu a guarda provisória do menor a terceiras pessoas, as quais não compõem o núcleo familiar do infante</w:t>
            </w:r>
            <w:r>
              <w:rPr>
                <w:rFonts w:ascii="Century Gothic;sans-serif" w:hAnsi="Century Gothic;sans-serif"/>
                <w:color w:val="000000"/>
                <w:sz w:val="22"/>
              </w:rPr>
              <w:t>. Existência de situação excepcional ressalvada pelo art. 33, § 2º, do ECA, a legitimar o deferimento do pedido para, inclusive, regularizar aparente situação fática já vivenciada pelos agravados</w:t>
            </w:r>
            <w:r>
              <w:rPr>
                <w:rFonts w:ascii="Century Gothic;sans-serif" w:hAnsi="Century Gothic;sans-serif"/>
                <w:b/>
                <w:color w:val="000000"/>
                <w:sz w:val="22"/>
              </w:rPr>
              <w:t>. Em relação às visitas paternas, negativa aparentemente motivada pela ausência de informações suficientes quanto à personalidade e índole do genitor, a tornar temerária sua pronta autorização.</w:t>
            </w:r>
            <w:r>
              <w:rPr>
                <w:rFonts w:ascii="Century Gothic;sans-serif" w:hAnsi="Century Gothic;sans-serif"/>
                <w:color w:val="000000"/>
                <w:sz w:val="22"/>
              </w:rPr>
              <w:t xml:space="preserve"> Questões a serem equacionadas à luz da diretriz do superior interesse do menor. Determinação, ademais, revestida de natureza provisória, reversível a qualquer tempo, circunstância a não recomendar alteração nesta fase inicial. Decisão mantida. Agravo não provido. </w:t>
            </w:r>
            <w:r/>
          </w:p>
          <w:p>
            <w:pPr>
              <w:pStyle w:val="Contedodatabela"/>
              <w:spacing w:before="0" w:after="283"/>
              <w:ind w:left="0" w:right="0" w:hanging="0"/>
              <w:jc w:val="right"/>
              <w:rPr>
                <w:sz w:val="20"/>
                <w:sz w:val="20"/>
                <w:rFonts w:ascii="Century Gothic;sans-serif" w:hAnsi="Century Gothic;sans-serif"/>
                <w:color w:val="FFFFFF"/>
              </w:rPr>
            </w:pPr>
            <w:r>
              <w:rPr>
                <w:rFonts w:ascii="Century Gothic;sans-serif" w:hAnsi="Century Gothic;sans-serif"/>
                <w:color w:val="000000"/>
                <w:sz w:val="20"/>
              </w:rPr>
              <w:t>Agravo de Instrumento nº 2181150-89.2014.8.26.0000. Rel. Roberto Maia. J. 30.03.2015</w:t>
            </w:r>
            <w:r/>
          </w:p>
        </w:tc>
        <w:tc>
          <w:tcPr>
            <w:tcW w:w="4622" w:type="dxa"/>
            <w:gridSpan w:val="7"/>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5C0B" w:val="clear"/>
            <w:tcMar>
              <w:left w:w="98" w:type="dxa"/>
            </w:tcMar>
            <w:vAlign w:val="center"/>
          </w:tcPr>
          <w:p>
            <w:pPr>
              <w:pStyle w:val="Contedodatabela"/>
              <w:spacing w:before="0" w:after="0"/>
              <w:ind w:left="113" w:right="113" w:hanging="0"/>
              <w:jc w:val="center"/>
              <w:rPr>
                <w:smallCaps/>
                <w:sz w:val="40"/>
                <w:b/>
                <w:sz w:val="40"/>
                <w:b/>
                <w:rFonts w:ascii="Century Gothic;sans-serif" w:hAnsi="Century Gothic;sans-serif"/>
                <w:color w:val="FFFFFF"/>
              </w:rPr>
            </w:pPr>
            <w:r>
              <w:rPr>
                <w:rFonts w:ascii="Century Gothic;sans-serif" w:hAnsi="Century Gothic;sans-serif"/>
                <w:b/>
                <w:smallCaps/>
                <w:color w:val="FFFFFF"/>
                <w:sz w:val="40"/>
              </w:rPr>
              <w:t>Guarda</w:t>
            </w:r>
            <w:r/>
          </w:p>
        </w:tc>
      </w:tr>
      <w:tr>
        <w:trPr/>
        <w:tc>
          <w:tcPr>
            <w:tcW w:w="2581" w:type="dxa"/>
            <w:gridSpan w:val="6"/>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6600" w:val="clear"/>
            <w:tcMar>
              <w:left w:w="98" w:type="dxa"/>
            </w:tcMar>
            <w:vAlign w:val="center"/>
          </w:tcPr>
          <w:p>
            <w:pPr>
              <w:pStyle w:val="Contedodatabela"/>
              <w:spacing w:before="0" w:after="0"/>
              <w:ind w:left="113" w:right="113" w:hanging="0"/>
              <w:jc w:val="center"/>
              <w:rPr>
                <w:smallCaps/>
                <w:sz w:val="40"/>
                <w:b/>
                <w:sz w:val="40"/>
                <w:b/>
                <w:rFonts w:ascii="Century Gothic;sans-serif" w:hAnsi="Century Gothic;sans-serif"/>
                <w:color w:val="FFFFFF"/>
              </w:rPr>
            </w:pPr>
            <w:r>
              <w:rPr>
                <w:rFonts w:ascii="Century Gothic;sans-serif" w:hAnsi="Century Gothic;sans-serif"/>
                <w:b/>
                <w:smallCaps/>
                <w:color w:val="FFFFFF"/>
                <w:sz w:val="40"/>
              </w:rPr>
              <w:t>Guarda</w:t>
            </w:r>
            <w:r/>
          </w:p>
        </w:tc>
        <w:tc>
          <w:tcPr>
            <w:tcW w:w="10229" w:type="dxa"/>
            <w:gridSpan w:val="40"/>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99" w:val="clear"/>
            <w:tcMar>
              <w:left w:w="98" w:type="dxa"/>
            </w:tcMar>
          </w:tcPr>
          <w:p>
            <w:pPr>
              <w:pStyle w:val="Contedodatabela"/>
              <w:spacing w:lineRule="auto" w:line="360" w:before="0" w:after="0"/>
              <w:jc w:val="both"/>
            </w:pPr>
            <w:r>
              <w:rPr>
                <w:rFonts w:ascii="Century Gothic;sans-serif" w:hAnsi="Century Gothic;sans-serif"/>
                <w:sz w:val="22"/>
              </w:rPr>
              <w:t xml:space="preserve">Ação de Guarda. </w:t>
            </w:r>
            <w:r>
              <w:rPr>
                <w:rFonts w:ascii="Century Gothic;sans-serif" w:hAnsi="Century Gothic;sans-serif"/>
                <w:b/>
                <w:sz w:val="22"/>
              </w:rPr>
              <w:t>Demanda ajuizada pela genitora com vistas à fixação da guarda unilateral de filho adolescente em seu favor.</w:t>
            </w:r>
            <w:r>
              <w:rPr>
                <w:rFonts w:ascii="Century Gothic;sans-serif" w:hAnsi="Century Gothic;sans-serif"/>
                <w:sz w:val="22"/>
              </w:rPr>
              <w:t xml:space="preserve"> </w:t>
            </w:r>
            <w:r>
              <w:rPr>
                <w:rFonts w:ascii="Century Gothic;sans-serif" w:hAnsi="Century Gothic;sans-serif"/>
                <w:b/>
                <w:sz w:val="22"/>
              </w:rPr>
              <w:t>Convivência paterna que supostamente exporia o jovem a situação de risco, por ser o genitor usuário de entorpecentes</w:t>
            </w:r>
            <w:r>
              <w:rPr>
                <w:rFonts w:ascii="Century Gothic;sans-serif" w:hAnsi="Century Gothic;sans-serif"/>
                <w:sz w:val="22"/>
              </w:rPr>
              <w:t xml:space="preserve">. Ausência de prova do alegado. Apelante que não se desincumbiu de seu ônus probatório (art. 333, inc. I, CPC). Revelia do réu que, por versar os autos sobre direito indisponível, não induz na aceitação dos fatos narrados na exordial como se verdadeiros fossem (art. 320, inc. II, CPC). Existência de prova técnica a demonstrar o exercício, pelos pais, da guarda compartilhada do filho de forma harmônica. Inobservância de qualquer das hipóteses do artigo 98 do ECA. </w:t>
            </w:r>
            <w:r>
              <w:rPr>
                <w:rFonts w:ascii="Century Gothic;sans-serif" w:hAnsi="Century Gothic;sans-serif"/>
                <w:b/>
                <w:sz w:val="22"/>
              </w:rPr>
              <w:t xml:space="preserve">Pedido de guarda fundamentado em futura recaída do genitor ao uso de drogas. Inadmissibilidade. Medidas de proteção (dentre as quais a guarda) que devem se pautar pela atualidade (art. 100, inc. VIII, ECA). </w:t>
            </w:r>
            <w:r>
              <w:rPr>
                <w:rFonts w:ascii="Century Gothic;sans-serif" w:hAnsi="Century Gothic;sans-serif"/>
                <w:sz w:val="22"/>
              </w:rPr>
              <w:t>Manifestação do adolescente contrária ao pedido da mãe (art. 100, inc. XII, ECA). Recurso ao qual se nega provimento.</w:t>
            </w:r>
            <w:r/>
          </w:p>
        </w:tc>
      </w:tr>
      <w:tr>
        <w:trPr/>
        <w:tc>
          <w:tcPr>
            <w:tcW w:w="2581" w:type="dxa"/>
            <w:gridSpan w:val="6"/>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6600"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10229" w:type="dxa"/>
            <w:gridSpan w:val="40"/>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5C0B" w:val="clear"/>
            <w:tcMar>
              <w:left w:w="98" w:type="dxa"/>
            </w:tcMar>
          </w:tcPr>
          <w:p>
            <w:pPr>
              <w:pStyle w:val="Contedodatabela"/>
              <w:spacing w:before="0" w:after="283"/>
              <w:ind w:left="0" w:right="0" w:hanging="0"/>
              <w:jc w:val="left"/>
              <w:rPr>
                <w:sz w:val="20"/>
                <w:sz w:val="20"/>
                <w:rFonts w:ascii="Century Gothic;sans-serif" w:hAnsi="Century Gothic;sans-serif"/>
                <w:color w:val="FFFFFF"/>
              </w:rPr>
            </w:pPr>
            <w:r>
              <w:rPr>
                <w:rFonts w:ascii="Century Gothic;sans-serif" w:hAnsi="Century Gothic;sans-serif"/>
                <w:color w:val="FFFFFF"/>
                <w:sz w:val="20"/>
              </w:rPr>
              <w:t>Apelação nº 0001654-13.2012.8.26.0063. Rel. Issa Ahmed. J. 13.04.2015</w:t>
            </w:r>
            <w:r/>
          </w:p>
        </w:tc>
      </w:tr>
      <w:tr>
        <w:trPr/>
        <w:tc>
          <w:tcPr>
            <w:tcW w:w="7966" w:type="dxa"/>
            <w:gridSpan w:val="31"/>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99" w:val="clear"/>
            <w:tcMar>
              <w:left w:w="98" w:type="dxa"/>
            </w:tcMar>
          </w:tcPr>
          <w:p>
            <w:pPr>
              <w:pStyle w:val="Contedodatabela"/>
              <w:spacing w:lineRule="auto" w:line="360" w:before="0" w:after="0"/>
              <w:jc w:val="both"/>
            </w:pPr>
            <w:r>
              <w:rPr>
                <w:rFonts w:ascii="Century Gothic;sans-serif" w:hAnsi="Century Gothic;sans-serif"/>
                <w:sz w:val="22"/>
              </w:rPr>
              <w:t xml:space="preserve">Decisão em Procedimento Verificatório que determinou o </w:t>
            </w:r>
            <w:r>
              <w:rPr>
                <w:rFonts w:ascii="Century Gothic;sans-serif" w:hAnsi="Century Gothic;sans-serif"/>
                <w:b/>
                <w:sz w:val="22"/>
              </w:rPr>
              <w:t>acolhimento da filha da agravante, presa em cadeia feminina, terminado o período de seis meses de amamentação</w:t>
            </w:r>
            <w:r>
              <w:rPr>
                <w:rFonts w:ascii="Century Gothic;sans-serif" w:hAnsi="Century Gothic;sans-serif"/>
                <w:sz w:val="22"/>
              </w:rPr>
              <w:t xml:space="preserve"> – Progressão ao regime aberto – </w:t>
            </w:r>
            <w:r>
              <w:rPr>
                <w:rFonts w:ascii="Century Gothic;sans-serif" w:hAnsi="Century Gothic;sans-serif"/>
                <w:b/>
                <w:sz w:val="22"/>
              </w:rPr>
              <w:t>Manutenção do acolhimento provisório por ausência de estrutura pessoal da genitora para cuidar da infante</w:t>
            </w:r>
            <w:r>
              <w:rPr>
                <w:rFonts w:ascii="Century Gothic;sans-serif" w:hAnsi="Century Gothic;sans-serif"/>
                <w:sz w:val="22"/>
              </w:rPr>
              <w:t xml:space="preserve"> – Inexistência de familiares para assumir a guarda – Necessidade de acompanhamento da genitora, usuária de drogas, para eventual desacolhimento. Nega-se provimento ao recurso, com observação.</w:t>
            </w:r>
            <w:r/>
          </w:p>
        </w:tc>
        <w:tc>
          <w:tcPr>
            <w:tcW w:w="92" w:type="dxa"/>
            <w:gridSpan w:val="3"/>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4752" w:type="dxa"/>
            <w:gridSpan w:val="12"/>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5C0B" w:val="clear"/>
            <w:tcMar>
              <w:left w:w="98" w:type="dxa"/>
            </w:tcMar>
            <w:vAlign w:val="center"/>
          </w:tcPr>
          <w:p>
            <w:pPr>
              <w:pStyle w:val="Contedodatabela"/>
              <w:spacing w:before="0" w:after="0"/>
              <w:ind w:left="113" w:right="113" w:hanging="0"/>
              <w:jc w:val="center"/>
              <w:rPr>
                <w:smallCaps/>
                <w:sz w:val="40"/>
                <w:b/>
                <w:sz w:val="40"/>
                <w:b/>
                <w:rFonts w:ascii="Century Gothic;sans-serif" w:hAnsi="Century Gothic;sans-serif"/>
                <w:color w:val="FFFFFF"/>
              </w:rPr>
            </w:pPr>
            <w:r>
              <w:rPr>
                <w:rFonts w:ascii="Century Gothic;sans-serif" w:hAnsi="Century Gothic;sans-serif"/>
                <w:b/>
                <w:smallCaps/>
                <w:color w:val="FFFFFF"/>
                <w:sz w:val="40"/>
              </w:rPr>
              <w:t>Poder Familiar</w:t>
            </w:r>
            <w:r/>
          </w:p>
        </w:tc>
      </w:tr>
      <w:tr>
        <w:trPr/>
        <w:tc>
          <w:tcPr>
            <w:tcW w:w="7966" w:type="dxa"/>
            <w:gridSpan w:val="31"/>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92" w:type="dxa"/>
            <w:gridSpan w:val="3"/>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4752" w:type="dxa"/>
            <w:gridSpan w:val="12"/>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5C0B" w:val="clear"/>
            <w:tcMar>
              <w:left w:w="98" w:type="dxa"/>
            </w:tcMar>
            <w:vAlign w:val="center"/>
          </w:tcPr>
          <w:p>
            <w:pPr>
              <w:pStyle w:val="Normal"/>
            </w:pPr>
            <w:r>
              <w:rPr/>
            </w:r>
            <w:r/>
          </w:p>
        </w:tc>
      </w:tr>
      <w:tr>
        <w:trPr/>
        <w:tc>
          <w:tcPr>
            <w:tcW w:w="1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ind w:left="0" w:right="0" w:hanging="0"/>
              <w:rPr>
                <w:sz w:val="4"/>
                <w:sz w:val="4"/>
                <w:szCs w:val="4"/>
                <w:rFonts w:ascii="Liberation Serif" w:hAnsi="Liberation Serif" w:eastAsia="SimSun" w:cs="Mangal"/>
                <w:color w:val="00000A"/>
                <w:lang w:val="pt-BR" w:eastAsia="zh-CN" w:bidi="hi-IN"/>
              </w:rPr>
            </w:pPr>
            <w:r>
              <w:rPr>
                <w:sz w:val="4"/>
                <w:szCs w:val="4"/>
              </w:rPr>
            </w:r>
            <w:r/>
          </w:p>
        </w:tc>
        <w:tc>
          <w:tcPr>
            <w:tcW w:w="7846" w:type="dxa"/>
            <w:gridSpan w:val="30"/>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5C0B" w:val="clear"/>
            <w:tcMar>
              <w:left w:w="98" w:type="dxa"/>
            </w:tcMar>
          </w:tcPr>
          <w:p>
            <w:pPr>
              <w:pStyle w:val="Contedodatabela"/>
              <w:spacing w:before="0" w:after="283"/>
              <w:ind w:left="0" w:right="0" w:hanging="0"/>
              <w:jc w:val="right"/>
              <w:rPr>
                <w:sz w:val="20"/>
                <w:sz w:val="20"/>
                <w:rFonts w:ascii="Century Gothic;sans-serif" w:hAnsi="Century Gothic;sans-serif"/>
                <w:color w:val="FFFFFF"/>
              </w:rPr>
            </w:pPr>
            <w:r>
              <w:rPr>
                <w:rFonts w:ascii="Century Gothic;sans-serif" w:hAnsi="Century Gothic;sans-serif"/>
                <w:color w:val="FFFFFF"/>
                <w:sz w:val="20"/>
              </w:rPr>
              <w:t>Agravo de Instrumento nº 2225433-03.2014.8.26.0000. Rel. Ricardo Anafe. J. 30.03.2015</w:t>
            </w:r>
            <w:r/>
          </w:p>
        </w:tc>
        <w:tc>
          <w:tcPr>
            <w:tcW w:w="92" w:type="dxa"/>
            <w:gridSpan w:val="3"/>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4752" w:type="dxa"/>
            <w:gridSpan w:val="12"/>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5C0B" w:val="clear"/>
            <w:tcMar>
              <w:left w:w="98" w:type="dxa"/>
            </w:tcMar>
            <w:vAlign w:val="center"/>
          </w:tcPr>
          <w:p>
            <w:pPr>
              <w:pStyle w:val="Normal"/>
            </w:pPr>
            <w:r>
              <w:rPr/>
            </w:r>
            <w:r/>
          </w:p>
        </w:tc>
      </w:tr>
      <w:tr>
        <w:trPr/>
        <w:tc>
          <w:tcPr>
            <w:tcW w:w="1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7846" w:type="dxa"/>
            <w:gridSpan w:val="30"/>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92"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4752" w:type="dxa"/>
            <w:gridSpan w:val="1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r>
      <w:tr>
        <w:trPr/>
        <w:tc>
          <w:tcPr>
            <w:tcW w:w="2617" w:type="dxa"/>
            <w:gridSpan w:val="7"/>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6600" w:val="clear"/>
            <w:tcMar>
              <w:left w:w="98" w:type="dxa"/>
            </w:tcMar>
            <w:vAlign w:val="center"/>
          </w:tcPr>
          <w:p>
            <w:pPr>
              <w:pStyle w:val="Contedodatabela"/>
              <w:spacing w:before="0" w:after="0"/>
              <w:ind w:left="113" w:right="113" w:hanging="0"/>
              <w:jc w:val="center"/>
              <w:rPr>
                <w:smallCaps/>
                <w:sz w:val="40"/>
                <w:b/>
                <w:sz w:val="40"/>
                <w:b/>
                <w:rFonts w:ascii="Century Gothic;sans-serif" w:hAnsi="Century Gothic;sans-serif"/>
                <w:color w:val="FFFFFF"/>
              </w:rPr>
            </w:pPr>
            <w:r>
              <w:rPr>
                <w:rFonts w:ascii="Century Gothic;sans-serif" w:hAnsi="Century Gothic;sans-serif"/>
                <w:b/>
                <w:smallCaps/>
                <w:color w:val="FFFFFF"/>
                <w:sz w:val="40"/>
              </w:rPr>
              <w:t>Deveres Do Estado</w:t>
            </w:r>
            <w:r/>
          </w:p>
        </w:tc>
        <w:tc>
          <w:tcPr>
            <w:tcW w:w="166"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10027" w:type="dxa"/>
            <w:gridSpan w:val="38"/>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99" w:val="clear"/>
            <w:tcMar>
              <w:left w:w="98" w:type="dxa"/>
            </w:tcMar>
          </w:tcPr>
          <w:p>
            <w:pPr>
              <w:pStyle w:val="Contedodatabela"/>
              <w:spacing w:lineRule="auto" w:line="360" w:before="0" w:after="0"/>
              <w:jc w:val="both"/>
            </w:pPr>
            <w:r>
              <w:rPr>
                <w:rFonts w:ascii="Century Gothic;sans-serif" w:hAnsi="Century Gothic;sans-serif"/>
                <w:sz w:val="22"/>
              </w:rPr>
              <w:t xml:space="preserve">Ação Civil Pública. Imposição, às Fazendas Públicas Estadual de São Paulo e Municipal de Marília, de obrigação de fazer consistente em </w:t>
            </w:r>
            <w:r>
              <w:rPr>
                <w:rFonts w:ascii="Century Gothic;sans-serif" w:hAnsi="Century Gothic;sans-serif"/>
                <w:b/>
                <w:sz w:val="22"/>
              </w:rPr>
              <w:t>providenciar atendimento na especialidade de psiquiatria a crianças e adolescentes no prazo máximo de 30 (trinta) dias</w:t>
            </w:r>
            <w:r>
              <w:rPr>
                <w:rFonts w:ascii="Century Gothic;sans-serif" w:hAnsi="Century Gothic;sans-serif"/>
                <w:sz w:val="22"/>
              </w:rPr>
              <w:t xml:space="preserve">. Demanda julgada improcedente na origem, ao fundamento de que não estaria configurada omissão do Poder Público, atribuindo a espera para atendimento à demanda excessiva. Inversão do julgado. </w:t>
            </w:r>
            <w:r>
              <w:rPr>
                <w:rFonts w:ascii="Century Gothic;sans-serif" w:hAnsi="Century Gothic;sans-serif"/>
                <w:b/>
                <w:sz w:val="22"/>
              </w:rPr>
              <w:t>Diagnóstico precoce de enfermidades mentais que é essencial para o aumento das chances de êxito no tratamento e da acurácia da terapia</w:t>
            </w:r>
            <w:r>
              <w:rPr>
                <w:rFonts w:ascii="Century Gothic;sans-serif" w:hAnsi="Century Gothic;sans-serif"/>
                <w:sz w:val="22"/>
              </w:rPr>
              <w:t xml:space="preserve">. Doenças que, manifestadas na infância e na adolescência, podem levar a transtornos psiquiátricos mais graves, além de perdas escolares, problemas de adaptação e no desenvolvimento da personalidade, com dificuldades no relacionamento interpessoal na vida adulta. </w:t>
            </w:r>
            <w:r>
              <w:rPr>
                <w:rFonts w:ascii="Century Gothic;sans-serif" w:hAnsi="Century Gothic;sans-serif"/>
                <w:b/>
                <w:sz w:val="22"/>
              </w:rPr>
              <w:t>Aguardo de mais de um ano para atendimento que ofende aos princípios da razoabilidade e da eficiência, em descumprimento material das normas constitucionais</w:t>
            </w:r>
            <w:r>
              <w:rPr>
                <w:rFonts w:ascii="Century Gothic;sans-serif" w:hAnsi="Century Gothic;sans-serif"/>
                <w:sz w:val="22"/>
              </w:rPr>
              <w:t xml:space="preserve"> que impõem ao Poder Público o dever solidário de promover, proteger e recuperar a saúde da população (arts. 196 e 198), em caráter absolutamente prioritário com relação a crianças e adolescentes (art. 227, CF, e art. 11, ECA). </w:t>
            </w:r>
            <w:r>
              <w:rPr>
                <w:rFonts w:ascii="Century Gothic;sans-serif" w:hAnsi="Century Gothic;sans-serif"/>
                <w:b/>
                <w:sz w:val="22"/>
              </w:rPr>
              <w:t xml:space="preserve">Direito fundamental à saúde, que não pode ser obstaculizado pela Administração Pública sob invocação da cláusula da “reserva do possível”. </w:t>
            </w:r>
            <w:r>
              <w:rPr>
                <w:rFonts w:ascii="Century Gothic;sans-serif" w:hAnsi="Century Gothic;sans-serif"/>
                <w:sz w:val="22"/>
              </w:rPr>
              <w:t xml:space="preserve">Atuação do Poder Judiciário que apenas garante o exercício ou a eficácia de direitos fundamentais, não importando em violação aos princípios da separação dos poderes e da autonomia administrativa. Pedido que, ademais, assegura ao Poder Público, no uso de sua discricionariedade, a escolha da forma para adimplemento de sua obrigação. </w:t>
            </w:r>
            <w:r>
              <w:rPr>
                <w:rFonts w:ascii="Century Gothic;sans-serif" w:hAnsi="Century Gothic;sans-serif"/>
                <w:b/>
                <w:sz w:val="22"/>
              </w:rPr>
              <w:t>Apelo ao qual se dá parcial provimento para decretar a parcial procedência da ação, majorado o prazo inicialmente postulado de 30 (trinta) para 90 (noventa) dias.</w:t>
            </w:r>
            <w:r/>
          </w:p>
        </w:tc>
      </w:tr>
      <w:tr>
        <w:trPr/>
        <w:tc>
          <w:tcPr>
            <w:tcW w:w="2617" w:type="dxa"/>
            <w:gridSpan w:val="7"/>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6600"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166"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10027" w:type="dxa"/>
            <w:gridSpan w:val="38"/>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r>
      <w:tr>
        <w:trPr/>
        <w:tc>
          <w:tcPr>
            <w:tcW w:w="2617" w:type="dxa"/>
            <w:gridSpan w:val="7"/>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6600"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166"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10027" w:type="dxa"/>
            <w:gridSpan w:val="38"/>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5C0B" w:val="clear"/>
            <w:tcMar>
              <w:left w:w="98" w:type="dxa"/>
            </w:tcMar>
          </w:tcPr>
          <w:p>
            <w:pPr>
              <w:pStyle w:val="Contedodatabela"/>
              <w:spacing w:before="0" w:after="283"/>
              <w:ind w:left="0" w:right="0" w:hanging="0"/>
              <w:jc w:val="left"/>
              <w:rPr>
                <w:sz w:val="20"/>
                <w:sz w:val="20"/>
                <w:rFonts w:ascii="Century Gothic;sans-serif" w:hAnsi="Century Gothic;sans-serif"/>
                <w:color w:val="FFFFFF"/>
              </w:rPr>
            </w:pPr>
            <w:r>
              <w:rPr>
                <w:rFonts w:ascii="Century Gothic;sans-serif" w:hAnsi="Century Gothic;sans-serif"/>
                <w:color w:val="FFFFFF"/>
                <w:sz w:val="20"/>
              </w:rPr>
              <w:t>Apelação nº 0015879-34.2013.8.26.0344. Rel. Issa Ahmed. J. 30.03.2015</w:t>
            </w:r>
            <w:r/>
          </w:p>
        </w:tc>
      </w:tr>
      <w:tr>
        <w:trPr/>
        <w:tc>
          <w:tcPr>
            <w:tcW w:w="7935" w:type="dxa"/>
            <w:gridSpan w:val="30"/>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99" w:val="clear"/>
            <w:tcMar>
              <w:left w:w="98" w:type="dxa"/>
            </w:tcMar>
          </w:tcPr>
          <w:p>
            <w:pPr>
              <w:pStyle w:val="Contedodatabela"/>
              <w:spacing w:lineRule="auto" w:line="360" w:before="0" w:after="0"/>
              <w:jc w:val="both"/>
            </w:pPr>
            <w:r>
              <w:rPr>
                <w:rFonts w:ascii="Century Gothic;sans-serif" w:hAnsi="Century Gothic;sans-serif"/>
                <w:b/>
                <w:sz w:val="22"/>
              </w:rPr>
              <w:t>Fornecimento de tratamento de fonoaudiologia que deve se dar no município em que reside o agravante e não em município distante 70 km de sua residência</w:t>
            </w:r>
            <w:r>
              <w:rPr/>
              <w:t xml:space="preserve"> </w:t>
            </w:r>
            <w:r>
              <w:rPr>
                <w:rFonts w:ascii="Century Gothic;sans-serif" w:hAnsi="Century Gothic;sans-serif"/>
                <w:sz w:val="22"/>
              </w:rPr>
              <w:t>- Direito à saúde – Previsão - Constituição Federal, ECA e lei nº 8080/90 - Dever dos entes federados, dentre eles o município - Cominação de multa pelo descumprimento – Possibilidade - Valor razoável - Agravo a que se nega provimento.</w:t>
            </w:r>
            <w:r/>
          </w:p>
        </w:tc>
        <w:tc>
          <w:tcPr>
            <w:tcW w:w="92" w:type="dxa"/>
            <w:gridSpan w:val="3"/>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4783" w:type="dxa"/>
            <w:gridSpan w:val="13"/>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5C0B" w:val="clear"/>
            <w:tcMar>
              <w:left w:w="98" w:type="dxa"/>
            </w:tcMar>
            <w:vAlign w:val="center"/>
          </w:tcPr>
          <w:p>
            <w:pPr>
              <w:pStyle w:val="Contedodatabela"/>
              <w:spacing w:before="0" w:after="0"/>
              <w:ind w:left="113" w:right="113" w:hanging="0"/>
              <w:jc w:val="center"/>
              <w:rPr>
                <w:smallCaps/>
                <w:sz w:val="40"/>
                <w:b/>
                <w:sz w:val="40"/>
                <w:b/>
                <w:rFonts w:ascii="Century Gothic;sans-serif" w:hAnsi="Century Gothic;sans-serif"/>
                <w:color w:val="FFFFFF"/>
              </w:rPr>
            </w:pPr>
            <w:r>
              <w:rPr>
                <w:rFonts w:ascii="Century Gothic;sans-serif" w:hAnsi="Century Gothic;sans-serif"/>
                <w:b/>
                <w:smallCaps/>
                <w:color w:val="FFFFFF"/>
                <w:sz w:val="40"/>
              </w:rPr>
              <w:t>Deveres Do Estado</w:t>
            </w:r>
            <w:r/>
          </w:p>
        </w:tc>
      </w:tr>
      <w:tr>
        <w:trPr/>
        <w:tc>
          <w:tcPr>
            <w:tcW w:w="7935" w:type="dxa"/>
            <w:gridSpan w:val="30"/>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92" w:type="dxa"/>
            <w:gridSpan w:val="3"/>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4783" w:type="dxa"/>
            <w:gridSpan w:val="13"/>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5C0B"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r>
      <w:tr>
        <w:trPr/>
        <w:tc>
          <w:tcPr>
            <w:tcW w:w="1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ind w:left="0" w:right="0" w:hanging="0"/>
              <w:rPr>
                <w:sz w:val="4"/>
                <w:sz w:val="4"/>
                <w:szCs w:val="4"/>
                <w:rFonts w:ascii="Liberation Serif" w:hAnsi="Liberation Serif" w:eastAsia="SimSun" w:cs="Mangal"/>
                <w:color w:val="00000A"/>
                <w:lang w:val="pt-BR" w:eastAsia="zh-CN" w:bidi="hi-IN"/>
              </w:rPr>
            </w:pPr>
            <w:r>
              <w:rPr>
                <w:sz w:val="4"/>
                <w:szCs w:val="4"/>
              </w:rPr>
            </w:r>
            <w:r/>
          </w:p>
        </w:tc>
        <w:tc>
          <w:tcPr>
            <w:tcW w:w="7814" w:type="dxa"/>
            <w:gridSpan w:val="28"/>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5C0B" w:val="clear"/>
            <w:tcMar>
              <w:left w:w="98" w:type="dxa"/>
            </w:tcMar>
          </w:tcPr>
          <w:p>
            <w:pPr>
              <w:pStyle w:val="Contedodatabela"/>
              <w:spacing w:before="0" w:after="0"/>
              <w:jc w:val="right"/>
              <w:rPr>
                <w:sz w:val="20"/>
                <w:b/>
                <w:sz w:val="20"/>
                <w:b/>
                <w:rFonts w:ascii="Century Gothic;sans-serif" w:hAnsi="Century Gothic;sans-serif"/>
                <w:color w:val="FFFFFF"/>
              </w:rPr>
            </w:pPr>
            <w:r>
              <w:rPr>
                <w:rFonts w:ascii="Century Gothic;sans-serif" w:hAnsi="Century Gothic;sans-serif"/>
                <w:b/>
                <w:color w:val="FFFFFF"/>
                <w:sz w:val="20"/>
              </w:rPr>
              <w:t>Agravo de Instrumento nº 2231353-55.2014.8.26.0000. Rel. Artur Marques. J. 13.04.2015</w:t>
            </w:r>
            <w:r/>
          </w:p>
        </w:tc>
        <w:tc>
          <w:tcPr>
            <w:tcW w:w="92" w:type="dxa"/>
            <w:gridSpan w:val="3"/>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4784" w:type="dxa"/>
            <w:gridSpan w:val="14"/>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5C0B"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r>
      <w:tr>
        <w:trPr/>
        <w:tc>
          <w:tcPr>
            <w:tcW w:w="1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7814" w:type="dxa"/>
            <w:gridSpan w:val="28"/>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92"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4784" w:type="dxa"/>
            <w:gridSpan w:val="1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r>
      <w:tr>
        <w:trPr/>
        <w:tc>
          <w:tcPr>
            <w:tcW w:w="2617" w:type="dxa"/>
            <w:gridSpan w:val="7"/>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6600" w:val="clear"/>
            <w:tcMar>
              <w:left w:w="98" w:type="dxa"/>
            </w:tcMar>
            <w:vAlign w:val="center"/>
          </w:tcPr>
          <w:p>
            <w:pPr>
              <w:pStyle w:val="Contedodatabela"/>
              <w:spacing w:before="0" w:after="0"/>
              <w:ind w:left="113" w:right="113" w:hanging="0"/>
              <w:jc w:val="center"/>
              <w:rPr>
                <w:smallCaps/>
                <w:sz w:val="40"/>
                <w:b/>
                <w:sz w:val="40"/>
                <w:b/>
                <w:rFonts w:ascii="Century Gothic;sans-serif" w:hAnsi="Century Gothic;sans-serif"/>
                <w:color w:val="FFFFFF"/>
              </w:rPr>
            </w:pPr>
            <w:r>
              <w:rPr>
                <w:rFonts w:ascii="Century Gothic;sans-serif" w:hAnsi="Century Gothic;sans-serif"/>
                <w:b/>
                <w:smallCaps/>
                <w:color w:val="FFFFFF"/>
                <w:sz w:val="40"/>
              </w:rPr>
              <w:t xml:space="preserve">Deveres Do </w:t>
            </w:r>
            <w:r/>
          </w:p>
          <w:p>
            <w:pPr>
              <w:pStyle w:val="Contedodatabela"/>
              <w:spacing w:before="0" w:after="0"/>
              <w:ind w:left="113" w:right="113" w:hanging="0"/>
              <w:jc w:val="center"/>
              <w:rPr>
                <w:smallCaps/>
                <w:sz w:val="40"/>
                <w:b/>
                <w:sz w:val="40"/>
                <w:b/>
                <w:rFonts w:ascii="Century Gothic;sans-serif" w:hAnsi="Century Gothic;sans-serif"/>
                <w:color w:val="FFFFFF"/>
              </w:rPr>
            </w:pPr>
            <w:r>
              <w:rPr>
                <w:rFonts w:ascii="Century Gothic;sans-serif" w:hAnsi="Century Gothic;sans-serif"/>
                <w:b/>
                <w:smallCaps/>
                <w:color w:val="FFFFFF"/>
                <w:sz w:val="40"/>
              </w:rPr>
              <w:t>Estado</w:t>
            </w:r>
            <w:r/>
          </w:p>
        </w:tc>
        <w:tc>
          <w:tcPr>
            <w:tcW w:w="166"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10027" w:type="dxa"/>
            <w:gridSpan w:val="38"/>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99" w:val="clear"/>
            <w:tcMar>
              <w:left w:w="98" w:type="dxa"/>
            </w:tcMar>
          </w:tcPr>
          <w:p>
            <w:pPr>
              <w:pStyle w:val="Contedodatabela"/>
              <w:spacing w:lineRule="auto" w:line="360" w:before="0" w:after="0"/>
              <w:jc w:val="both"/>
            </w:pPr>
            <w:r>
              <w:rPr>
                <w:rFonts w:ascii="Century Gothic;sans-serif" w:hAnsi="Century Gothic;sans-serif"/>
                <w:sz w:val="22"/>
              </w:rPr>
              <w:t xml:space="preserve">Ação Civil Pública. Apreensão e custódia inicial de adolescentes infratores. Preliminares rejeitadas. </w:t>
            </w:r>
            <w:r>
              <w:rPr>
                <w:rFonts w:ascii="Century Gothic;sans-serif" w:hAnsi="Century Gothic;sans-serif"/>
                <w:b/>
                <w:sz w:val="22"/>
              </w:rPr>
              <w:t xml:space="preserve">Manutenção dos menores em situação irregular e ilegal, com excesso de prazo e em afronta aos seus direitos fundamentais. </w:t>
            </w:r>
            <w:r>
              <w:rPr>
                <w:rFonts w:ascii="Century Gothic;sans-serif" w:hAnsi="Century Gothic;sans-serif"/>
                <w:sz w:val="22"/>
              </w:rPr>
              <w:t xml:space="preserve">Distrito Policial desprovido de condições mínimas de salubridade e higiene. Decisão que impõe à Fazenda Estadual obrigação de adequação do local e suprimento das condições necessárias à permanência temporária dos menores no local, sob pena de multa e responsabilidade. Acerto da r. decisão. </w:t>
            </w:r>
            <w:r>
              <w:rPr>
                <w:rFonts w:ascii="Century Gothic;sans-serif" w:hAnsi="Century Gothic;sans-serif"/>
                <w:b/>
                <w:sz w:val="22"/>
              </w:rPr>
              <w:t>Encaminhamento inicial dos menores em situação infracional à Delegacia de Polícia</w:t>
            </w:r>
            <w:r>
              <w:rPr>
                <w:rFonts w:ascii="Century Gothic;sans-serif" w:hAnsi="Century Gothic;sans-serif"/>
                <w:sz w:val="22"/>
              </w:rPr>
              <w:t xml:space="preserve">, em conformidade com previsão do ECA. </w:t>
            </w:r>
            <w:r>
              <w:rPr>
                <w:rFonts w:ascii="Century Gothic;sans-serif" w:hAnsi="Century Gothic;sans-serif"/>
                <w:b/>
                <w:sz w:val="22"/>
              </w:rPr>
              <w:t>Permanência dos adolescentes no local admitida em caráter excepcional e temporário</w:t>
            </w:r>
            <w:r>
              <w:rPr>
                <w:rFonts w:ascii="Century Gothic;sans-serif" w:hAnsi="Century Gothic;sans-serif"/>
                <w:sz w:val="22"/>
              </w:rPr>
              <w:t>, desde que atendidas as condições garantidoras de seus direitos fundamentais. Decisão mantida. Recurso desprovido, com recomendação e observação.</w:t>
            </w:r>
            <w:r/>
          </w:p>
        </w:tc>
      </w:tr>
      <w:tr>
        <w:trPr/>
        <w:tc>
          <w:tcPr>
            <w:tcW w:w="2617" w:type="dxa"/>
            <w:gridSpan w:val="7"/>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6600"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166"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10027" w:type="dxa"/>
            <w:gridSpan w:val="38"/>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r>
      <w:tr>
        <w:trPr/>
        <w:tc>
          <w:tcPr>
            <w:tcW w:w="2617" w:type="dxa"/>
            <w:gridSpan w:val="7"/>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6600"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166"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9997" w:type="dxa"/>
            <w:gridSpan w:val="37"/>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5C0B" w:val="clear"/>
            <w:tcMar>
              <w:left w:w="98" w:type="dxa"/>
            </w:tcMar>
          </w:tcPr>
          <w:p>
            <w:pPr>
              <w:pStyle w:val="Contedodatabela"/>
              <w:spacing w:before="0" w:after="283"/>
              <w:ind w:left="0" w:right="0" w:hanging="0"/>
              <w:jc w:val="left"/>
              <w:rPr>
                <w:sz w:val="20"/>
                <w:sz w:val="20"/>
                <w:rFonts w:ascii="Century Gothic;sans-serif" w:hAnsi="Century Gothic;sans-serif"/>
                <w:color w:val="FFFFFF"/>
              </w:rPr>
            </w:pPr>
            <w:r>
              <w:rPr>
                <w:rFonts w:ascii="Century Gothic;sans-serif" w:hAnsi="Century Gothic;sans-serif"/>
                <w:color w:val="FFFFFF"/>
                <w:sz w:val="20"/>
              </w:rPr>
              <w:t>Agravo de Instrumento nº 2104213-38.2014.8.26.0000. Rel. Carlos Dias Motta. J. 27.04.2015</w:t>
            </w:r>
            <w:r/>
          </w:p>
        </w:tc>
        <w:tc>
          <w:tcPr>
            <w:tcW w:w="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ind w:left="0" w:right="0" w:hanging="0"/>
              <w:rPr>
                <w:sz w:val="4"/>
                <w:sz w:val="4"/>
                <w:szCs w:val="4"/>
                <w:rFonts w:ascii="Liberation Serif" w:hAnsi="Liberation Serif" w:eastAsia="SimSun" w:cs="Mangal"/>
                <w:color w:val="00000A"/>
                <w:lang w:val="pt-BR" w:eastAsia="zh-CN" w:bidi="hi-IN"/>
              </w:rPr>
            </w:pPr>
            <w:r>
              <w:rPr>
                <w:sz w:val="4"/>
                <w:szCs w:val="4"/>
              </w:rPr>
            </w:r>
            <w:r/>
          </w:p>
        </w:tc>
      </w:tr>
      <w:tr>
        <w:trPr/>
        <w:tc>
          <w:tcPr>
            <w:tcW w:w="6684" w:type="dxa"/>
            <w:gridSpan w:val="21"/>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99" w:val="clear"/>
            <w:tcMar>
              <w:left w:w="98" w:type="dxa"/>
            </w:tcMar>
          </w:tcPr>
          <w:p>
            <w:pPr>
              <w:pStyle w:val="Contedodatabela"/>
              <w:spacing w:lineRule="auto" w:line="360" w:before="0" w:after="0"/>
              <w:jc w:val="both"/>
            </w:pPr>
            <w:r>
              <w:rPr>
                <w:rFonts w:ascii="Century Gothic;sans-serif" w:hAnsi="Century Gothic;sans-serif"/>
                <w:b/>
                <w:sz w:val="22"/>
              </w:rPr>
              <w:t>Sentença de procedência de pedido de auxílio-aluguel</w:t>
            </w:r>
            <w:r>
              <w:rPr>
                <w:rFonts w:ascii="Century Gothic;sans-serif" w:hAnsi="Century Gothic;sans-serif"/>
                <w:sz w:val="22"/>
              </w:rPr>
              <w:t xml:space="preserve">. Matéria que tem como cerne o direito fundamental à moradia (art. 6º, CF) que, por sua vez, insere-se no rol das garantias essenciais à coletividade. </w:t>
            </w:r>
            <w:r>
              <w:rPr>
                <w:rFonts w:ascii="Century Gothic;sans-serif" w:hAnsi="Century Gothic;sans-serif"/>
                <w:b/>
                <w:sz w:val="22"/>
              </w:rPr>
              <w:t>Direitos da criança e do adolescente tratados apenas de forma secundária. Competência para julgamento da Seção de Direito Público deste E. Tribunal de Justiça</w:t>
            </w:r>
            <w:r>
              <w:rPr>
                <w:rFonts w:ascii="Century Gothic;sans-serif" w:hAnsi="Century Gothic;sans-serif"/>
                <w:sz w:val="22"/>
              </w:rPr>
              <w:t>, nos termos do art. 3º da Resolução 623/2013. Recursos não conhecidos, com determinação de remessa à Seção de Direito Público (1ª a 13ª Câmaras).</w:t>
            </w:r>
            <w:r/>
          </w:p>
        </w:tc>
        <w:tc>
          <w:tcPr>
            <w:tcW w:w="79" w:type="dxa"/>
            <w:gridSpan w:val="2"/>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6047" w:type="dxa"/>
            <w:gridSpan w:val="23"/>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5C0B" w:val="clear"/>
            <w:tcMar>
              <w:left w:w="98" w:type="dxa"/>
            </w:tcMar>
            <w:vAlign w:val="center"/>
          </w:tcPr>
          <w:p>
            <w:pPr>
              <w:pStyle w:val="Contedodatabela"/>
              <w:spacing w:before="0" w:after="0"/>
              <w:ind w:left="113" w:right="113" w:hanging="0"/>
              <w:jc w:val="center"/>
              <w:rPr>
                <w:smallCaps/>
                <w:sz w:val="40"/>
                <w:b/>
                <w:sz w:val="40"/>
                <w:b/>
                <w:rFonts w:ascii="Century Gothic;sans-serif" w:hAnsi="Century Gothic;sans-serif"/>
                <w:color w:val="FFFFFF"/>
              </w:rPr>
            </w:pPr>
            <w:r>
              <w:rPr>
                <w:rFonts w:ascii="Century Gothic;sans-serif" w:hAnsi="Century Gothic;sans-serif"/>
                <w:b/>
                <w:smallCaps/>
                <w:color w:val="FFFFFF"/>
                <w:sz w:val="40"/>
              </w:rPr>
              <w:t>Competência</w:t>
            </w:r>
            <w:r/>
          </w:p>
        </w:tc>
      </w:tr>
      <w:tr>
        <w:trPr/>
        <w:tc>
          <w:tcPr>
            <w:tcW w:w="6684" w:type="dxa"/>
            <w:gridSpan w:val="21"/>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79" w:type="dxa"/>
            <w:gridSpan w:val="2"/>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6047" w:type="dxa"/>
            <w:gridSpan w:val="23"/>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5C0B"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r>
      <w:tr>
        <w:trPr/>
        <w:tc>
          <w:tcPr>
            <w:tcW w:w="1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ind w:left="0" w:right="0" w:hanging="0"/>
              <w:rPr>
                <w:sz w:val="4"/>
                <w:sz w:val="4"/>
                <w:szCs w:val="4"/>
                <w:rFonts w:ascii="Liberation Serif" w:hAnsi="Liberation Serif" w:eastAsia="SimSun" w:cs="Mangal"/>
                <w:color w:val="00000A"/>
                <w:lang w:val="pt-BR" w:eastAsia="zh-CN" w:bidi="hi-IN"/>
              </w:rPr>
            </w:pPr>
            <w:r>
              <w:rPr>
                <w:sz w:val="4"/>
                <w:szCs w:val="4"/>
              </w:rPr>
            </w:r>
            <w:r/>
          </w:p>
        </w:tc>
        <w:tc>
          <w:tcPr>
            <w:tcW w:w="6564" w:type="dxa"/>
            <w:gridSpan w:val="20"/>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5C0B" w:val="clear"/>
            <w:tcMar>
              <w:left w:w="98" w:type="dxa"/>
            </w:tcMar>
          </w:tcPr>
          <w:p>
            <w:pPr>
              <w:pStyle w:val="Contedodatabela"/>
              <w:spacing w:before="0" w:after="0"/>
              <w:jc w:val="right"/>
              <w:rPr>
                <w:sz w:val="20"/>
                <w:b/>
                <w:sz w:val="20"/>
                <w:b/>
                <w:rFonts w:ascii="Century Gothic;sans-serif" w:hAnsi="Century Gothic;sans-serif"/>
                <w:color w:val="FFFFFF"/>
              </w:rPr>
            </w:pPr>
            <w:r>
              <w:rPr>
                <w:rFonts w:ascii="Century Gothic;sans-serif" w:hAnsi="Century Gothic;sans-serif"/>
                <w:b/>
                <w:color w:val="FFFFFF"/>
                <w:sz w:val="20"/>
              </w:rPr>
              <w:t>Apelação nº 0003467-33.2012.8.26.0562. Rel. Issa Ahmed. J. 30.03.2015</w:t>
            </w:r>
            <w:r/>
          </w:p>
        </w:tc>
        <w:tc>
          <w:tcPr>
            <w:tcW w:w="79" w:type="dxa"/>
            <w:gridSpan w:val="2"/>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6047" w:type="dxa"/>
            <w:gridSpan w:val="23"/>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5C0B"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r>
      <w:tr>
        <w:trPr/>
        <w:tc>
          <w:tcPr>
            <w:tcW w:w="1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6564" w:type="dxa"/>
            <w:gridSpan w:val="20"/>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79"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6047" w:type="dxa"/>
            <w:gridSpan w:val="2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r>
      <w:tr>
        <w:trPr/>
        <w:tc>
          <w:tcPr>
            <w:tcW w:w="3863" w:type="dxa"/>
            <w:gridSpan w:val="12"/>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6600" w:val="clear"/>
            <w:tcMar>
              <w:left w:w="98" w:type="dxa"/>
            </w:tcMar>
            <w:vAlign w:val="center"/>
          </w:tcPr>
          <w:p>
            <w:pPr>
              <w:pStyle w:val="Contedodatabela"/>
              <w:spacing w:before="0" w:after="0"/>
              <w:ind w:left="113" w:right="113" w:hanging="0"/>
              <w:jc w:val="center"/>
              <w:rPr>
                <w:smallCaps/>
                <w:sz w:val="40"/>
                <w:b/>
                <w:sz w:val="40"/>
                <w:b/>
                <w:rFonts w:ascii="Century Gothic;sans-serif" w:hAnsi="Century Gothic;sans-serif"/>
                <w:color w:val="FFFFFF"/>
              </w:rPr>
            </w:pPr>
            <w:r>
              <w:rPr>
                <w:rFonts w:ascii="Century Gothic;sans-serif" w:hAnsi="Century Gothic;sans-serif"/>
                <w:b/>
                <w:smallCaps/>
                <w:color w:val="FFFFFF"/>
                <w:sz w:val="40"/>
              </w:rPr>
              <w:t>Competência</w:t>
            </w:r>
            <w:r/>
          </w:p>
        </w:tc>
        <w:tc>
          <w:tcPr>
            <w:tcW w:w="128" w:type="dxa"/>
            <w:gridSpan w:val="2"/>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8819" w:type="dxa"/>
            <w:gridSpan w:val="3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99" w:val="clear"/>
            <w:tcMar>
              <w:left w:w="98" w:type="dxa"/>
            </w:tcMar>
          </w:tcPr>
          <w:p>
            <w:pPr>
              <w:pStyle w:val="Contedodatabela"/>
              <w:spacing w:lineRule="auto" w:line="360" w:before="0" w:after="0"/>
              <w:jc w:val="both"/>
            </w:pPr>
            <w:r>
              <w:rPr>
                <w:rFonts w:ascii="Century Gothic;sans-serif" w:hAnsi="Century Gothic;sans-serif"/>
                <w:sz w:val="22"/>
              </w:rPr>
              <w:t xml:space="preserve">Obrigação de fazer. </w:t>
            </w:r>
            <w:r>
              <w:rPr>
                <w:rFonts w:ascii="Century Gothic;sans-serif" w:hAnsi="Century Gothic;sans-serif"/>
                <w:b/>
                <w:sz w:val="22"/>
              </w:rPr>
              <w:t>Menor portadora de “encefalopatia malformativa com quadro de epilepsia grave”. Decisão que concedeu a antecipação da tutela pleiteada</w:t>
            </w:r>
            <w:r>
              <w:rPr>
                <w:rFonts w:ascii="Century Gothic;sans-serif" w:hAnsi="Century Gothic;sans-serif"/>
                <w:sz w:val="22"/>
              </w:rPr>
              <w:t xml:space="preserve">. Agravo da r. decisão. </w:t>
            </w:r>
            <w:r>
              <w:rPr>
                <w:rFonts w:ascii="Century Gothic;sans-serif" w:hAnsi="Century Gothic;sans-serif"/>
                <w:b/>
                <w:sz w:val="22"/>
              </w:rPr>
              <w:t>Reconhecimento da incompetência do r. Juízo menorista em razão da presença de autarquia federal no polo passivo do processo.</w:t>
            </w:r>
            <w:r>
              <w:rPr>
                <w:rFonts w:ascii="Century Gothic;sans-serif" w:hAnsi="Century Gothic;sans-serif"/>
                <w:sz w:val="22"/>
              </w:rPr>
              <w:t xml:space="preserve"> Nas causas em que há participação da União, entidade autárquica ou empresa pública federal é reconhecida a competência da Justiça Federal nos termos do art. 109, inc. I, da CF. </w:t>
            </w:r>
            <w:r>
              <w:rPr>
                <w:rFonts w:ascii="Century Gothic;sans-serif" w:hAnsi="Century Gothic;sans-serif"/>
                <w:b/>
                <w:sz w:val="22"/>
              </w:rPr>
              <w:t>Manutenção, entretanto, da liminar deferida pelo r. Juízo da Vara da Infância e da Juventude, até reanálise pelo r. Juízo competente, tendo em vista o direito fundamental à vida e à saúde da criança que necessita do medicamento.</w:t>
            </w:r>
            <w:r>
              <w:rPr>
                <w:rFonts w:ascii="Century Gothic;sans-serif" w:hAnsi="Century Gothic;sans-serif"/>
                <w:sz w:val="22"/>
              </w:rPr>
              <w:t xml:space="preserve"> Declaração de incompetência do r. Juízo menorista, prejudicado o exame do recurso, com determinação e observação.</w:t>
            </w:r>
            <w:r/>
          </w:p>
        </w:tc>
      </w:tr>
      <w:tr>
        <w:trPr/>
        <w:tc>
          <w:tcPr>
            <w:tcW w:w="3863" w:type="dxa"/>
            <w:gridSpan w:val="12"/>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6600"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128" w:type="dxa"/>
            <w:gridSpan w:val="2"/>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8819" w:type="dxa"/>
            <w:gridSpan w:val="3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r>
      <w:tr>
        <w:trPr/>
        <w:tc>
          <w:tcPr>
            <w:tcW w:w="3863" w:type="dxa"/>
            <w:gridSpan w:val="12"/>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6600"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128" w:type="dxa"/>
            <w:gridSpan w:val="2"/>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8759" w:type="dxa"/>
            <w:gridSpan w:val="30"/>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5C0B" w:val="clear"/>
            <w:tcMar>
              <w:left w:w="98" w:type="dxa"/>
            </w:tcMar>
          </w:tcPr>
          <w:p>
            <w:pPr>
              <w:pStyle w:val="Contedodatabela"/>
              <w:spacing w:before="0" w:after="0"/>
              <w:rPr>
                <w:sz w:val="20"/>
                <w:b/>
                <w:sz w:val="20"/>
                <w:b/>
                <w:rFonts w:ascii="Century Gothic;sans-serif" w:hAnsi="Century Gothic;sans-serif"/>
                <w:color w:val="FFFFFF"/>
              </w:rPr>
            </w:pPr>
            <w:r>
              <w:rPr>
                <w:rFonts w:ascii="Century Gothic;sans-serif" w:hAnsi="Century Gothic;sans-serif"/>
                <w:b/>
                <w:color w:val="FFFFFF"/>
                <w:sz w:val="20"/>
              </w:rPr>
              <w:t>Agravo de Instrumento nº 2139864-34.2014.8.26.0000. Rel. Carlos Dias Motta. J. 27.04.2015</w:t>
            </w:r>
            <w:r/>
          </w:p>
        </w:tc>
        <w:tc>
          <w:tcPr>
            <w:tcW w:w="6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ind w:left="0" w:right="0" w:hanging="0"/>
              <w:rPr>
                <w:sz w:val="4"/>
                <w:sz w:val="4"/>
                <w:szCs w:val="4"/>
                <w:rFonts w:ascii="Liberation Serif" w:hAnsi="Liberation Serif" w:eastAsia="SimSun" w:cs="Mangal"/>
                <w:color w:val="00000A"/>
                <w:lang w:val="pt-BR" w:eastAsia="zh-CN" w:bidi="hi-IN"/>
              </w:rPr>
            </w:pPr>
            <w:r>
              <w:rPr>
                <w:sz w:val="4"/>
                <w:szCs w:val="4"/>
              </w:rPr>
            </w:r>
            <w:r/>
          </w:p>
        </w:tc>
      </w:tr>
      <w:tr>
        <w:trPr/>
        <w:tc>
          <w:tcPr>
            <w:tcW w:w="8093" w:type="dxa"/>
            <w:gridSpan w:val="3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99" w:val="clear"/>
            <w:tcMar>
              <w:left w:w="98" w:type="dxa"/>
            </w:tcMar>
          </w:tcPr>
          <w:p>
            <w:pPr>
              <w:pStyle w:val="Contedodatabela"/>
              <w:spacing w:lineRule="auto" w:line="360" w:before="0" w:after="0"/>
              <w:jc w:val="both"/>
            </w:pPr>
            <w:r>
              <w:rPr>
                <w:rFonts w:ascii="Century Gothic;sans-serif" w:hAnsi="Century Gothic;sans-serif"/>
                <w:sz w:val="22"/>
              </w:rPr>
              <w:t xml:space="preserve">Ato infracional análogo ao crime de tráfico de drogas (art. 33, caput, da Lei nº. 11.343/06). </w:t>
            </w:r>
            <w:r>
              <w:rPr>
                <w:rFonts w:ascii="Century Gothic;sans-serif" w:hAnsi="Century Gothic;sans-serif"/>
                <w:b/>
                <w:sz w:val="22"/>
              </w:rPr>
              <w:t>Sentença que julgou procedente a representação, aplicando ao adolescente a medida socioeducativa de liberdade assistida, pelo prazo de um ano.</w:t>
            </w:r>
            <w:r>
              <w:rPr>
                <w:rFonts w:ascii="Century Gothic;sans-serif" w:hAnsi="Century Gothic;sans-serif"/>
                <w:sz w:val="22"/>
              </w:rPr>
              <w:t xml:space="preserve"> Apelo Ministerial que sustenta aplicação da medida de internação. Análise da prova oral. </w:t>
            </w:r>
            <w:r>
              <w:rPr>
                <w:rFonts w:ascii="Century Gothic;sans-serif" w:hAnsi="Century Gothic;sans-serif"/>
                <w:b/>
                <w:sz w:val="22"/>
              </w:rPr>
              <w:t>Autoria e materialidade comprovadas. Inadmissibilidade da aplicação da medida extrema. Suficiência da aplicação da ressocialização em meio aberto.</w:t>
            </w:r>
            <w:r>
              <w:rPr>
                <w:rFonts w:ascii="Century Gothic;sans-serif" w:hAnsi="Century Gothic;sans-serif"/>
                <w:sz w:val="22"/>
              </w:rPr>
              <w:t xml:space="preserve"> Manutenção da medida imposta, que se mostra adequada para a ressocialização do jovem. Recurso não provido.</w:t>
            </w:r>
            <w:r>
              <w:rPr/>
              <w:t xml:space="preserve"> </w:t>
            </w:r>
            <w:r/>
          </w:p>
        </w:tc>
        <w:tc>
          <w:tcPr>
            <w:tcW w:w="93" w:type="dxa"/>
            <w:gridSpan w:val="2"/>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4624" w:type="dxa"/>
            <w:gridSpan w:val="8"/>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5C0B" w:val="clear"/>
            <w:tcMar>
              <w:left w:w="98" w:type="dxa"/>
            </w:tcMar>
            <w:vAlign w:val="center"/>
          </w:tcPr>
          <w:p>
            <w:pPr>
              <w:pStyle w:val="Contedodatabela"/>
              <w:spacing w:before="0" w:after="0"/>
              <w:ind w:left="113" w:right="113" w:hanging="0"/>
              <w:jc w:val="center"/>
              <w:rPr>
                <w:smallCaps/>
                <w:sz w:val="40"/>
                <w:b/>
                <w:sz w:val="40"/>
                <w:b/>
                <w:rFonts w:ascii="Century Gothic;sans-serif" w:hAnsi="Century Gothic;sans-serif"/>
                <w:color w:val="FFFFFF"/>
              </w:rPr>
            </w:pPr>
            <w:r>
              <w:rPr>
                <w:rFonts w:ascii="Century Gothic;sans-serif" w:hAnsi="Century Gothic;sans-serif"/>
                <w:b/>
                <w:smallCaps/>
                <w:color w:val="FFFFFF"/>
                <w:sz w:val="40"/>
              </w:rPr>
              <w:t>Tráfico</w:t>
            </w:r>
            <w:r/>
          </w:p>
        </w:tc>
      </w:tr>
      <w:tr>
        <w:trPr/>
        <w:tc>
          <w:tcPr>
            <w:tcW w:w="8093" w:type="dxa"/>
            <w:gridSpan w:val="3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93" w:type="dxa"/>
            <w:gridSpan w:val="2"/>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4624" w:type="dxa"/>
            <w:gridSpan w:val="8"/>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5C0B"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r>
      <w:tr>
        <w:trPr/>
        <w:tc>
          <w:tcPr>
            <w:tcW w:w="1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ind w:left="0" w:right="0" w:hanging="0"/>
              <w:rPr>
                <w:sz w:val="4"/>
                <w:sz w:val="4"/>
                <w:szCs w:val="4"/>
                <w:rFonts w:ascii="Liberation Serif" w:hAnsi="Liberation Serif" w:eastAsia="SimSun" w:cs="Mangal"/>
                <w:color w:val="00000A"/>
                <w:lang w:val="pt-BR" w:eastAsia="zh-CN" w:bidi="hi-IN"/>
              </w:rPr>
            </w:pPr>
            <w:r>
              <w:rPr>
                <w:sz w:val="4"/>
                <w:szCs w:val="4"/>
              </w:rPr>
            </w:r>
            <w:r/>
          </w:p>
        </w:tc>
        <w:tc>
          <w:tcPr>
            <w:tcW w:w="7972" w:type="dxa"/>
            <w:gridSpan w:val="3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5C0B" w:val="clear"/>
            <w:tcMar>
              <w:left w:w="98" w:type="dxa"/>
            </w:tcMar>
          </w:tcPr>
          <w:p>
            <w:pPr>
              <w:pStyle w:val="Contedodatabela"/>
              <w:spacing w:before="0" w:after="0"/>
              <w:jc w:val="right"/>
              <w:rPr>
                <w:sz w:val="20"/>
                <w:b/>
                <w:sz w:val="20"/>
                <w:b/>
                <w:rFonts w:ascii="Century Gothic;sans-serif" w:hAnsi="Century Gothic;sans-serif"/>
                <w:color w:val="FFFFFF"/>
              </w:rPr>
            </w:pPr>
            <w:r>
              <w:rPr>
                <w:rFonts w:ascii="Century Gothic;sans-serif" w:hAnsi="Century Gothic;sans-serif"/>
                <w:b/>
                <w:color w:val="FFFFFF"/>
                <w:sz w:val="20"/>
              </w:rPr>
              <w:t>Apelação nº 0014383-22.2013.8.26.0068. Rel. Carlos Dias Motta. J. 27.04.2015</w:t>
            </w:r>
            <w:r/>
          </w:p>
        </w:tc>
        <w:tc>
          <w:tcPr>
            <w:tcW w:w="93" w:type="dxa"/>
            <w:gridSpan w:val="2"/>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4625" w:type="dxa"/>
            <w:gridSpan w:val="9"/>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5C0B"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r>
      <w:tr>
        <w:trPr/>
        <w:tc>
          <w:tcPr>
            <w:tcW w:w="1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7972" w:type="dxa"/>
            <w:gridSpan w:val="3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93"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4625" w:type="dxa"/>
            <w:gridSpan w:val="9"/>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r>
      <w:tr>
        <w:trPr/>
        <w:tc>
          <w:tcPr>
            <w:tcW w:w="3593" w:type="dxa"/>
            <w:gridSpan w:val="9"/>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6600" w:val="clear"/>
            <w:tcMar>
              <w:left w:w="98" w:type="dxa"/>
            </w:tcMar>
            <w:vAlign w:val="center"/>
          </w:tcPr>
          <w:p>
            <w:pPr>
              <w:pStyle w:val="Contedodatabela"/>
              <w:spacing w:before="0" w:after="0"/>
              <w:ind w:left="113" w:right="113" w:hanging="0"/>
              <w:jc w:val="center"/>
              <w:rPr>
                <w:smallCaps/>
                <w:sz w:val="40"/>
                <w:b/>
                <w:sz w:val="40"/>
                <w:b/>
                <w:rFonts w:ascii="Century Gothic;sans-serif" w:hAnsi="Century Gothic;sans-serif"/>
                <w:color w:val="FFFFFF"/>
              </w:rPr>
            </w:pPr>
            <w:r>
              <w:rPr>
                <w:rFonts w:ascii="Century Gothic;sans-serif" w:hAnsi="Century Gothic;sans-serif"/>
                <w:b/>
                <w:smallCaps/>
                <w:color w:val="FFFFFF"/>
                <w:sz w:val="40"/>
              </w:rPr>
              <w:t>Ato Infracional</w:t>
            </w:r>
            <w:r/>
          </w:p>
        </w:tc>
        <w:tc>
          <w:tcPr>
            <w:tcW w:w="131"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9086" w:type="dxa"/>
            <w:gridSpan w:val="3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99" w:val="clear"/>
            <w:tcMar>
              <w:left w:w="98" w:type="dxa"/>
            </w:tcMar>
          </w:tcPr>
          <w:p>
            <w:pPr>
              <w:pStyle w:val="Contedodatabela"/>
              <w:spacing w:lineRule="auto" w:line="360" w:before="0" w:after="0"/>
              <w:jc w:val="both"/>
            </w:pPr>
            <w:r>
              <w:rPr>
                <w:rFonts w:ascii="Century Gothic;sans-serif" w:hAnsi="Century Gothic;sans-serif"/>
                <w:sz w:val="22"/>
              </w:rPr>
              <w:t xml:space="preserve">Ato infracional equiparado ao roubo em concurso de pessoas – Materialidade e autoria bem demonstradas – Medida socioeducativa que deve levar em consideração as condições pessoais do adolescente infrator. 1. </w:t>
            </w:r>
            <w:r>
              <w:rPr>
                <w:rFonts w:ascii="Century Gothic;sans-serif" w:hAnsi="Century Gothic;sans-serif"/>
                <w:b/>
                <w:sz w:val="22"/>
              </w:rPr>
              <w:t xml:space="preserve">Embora a prática de roubo simples se amolde ao disposto no art. 122, inciso I, do ECA, a excepcionalidade da medida (art. 122, §2º, ECA), quando associada à primariedade, à conduta específica de cada um dos adolescentes e, ainda, às suas condições pessoais e familiares, não pode ser fundada unicamente na majorante do concurso de pessoas. </w:t>
            </w:r>
            <w:r>
              <w:rPr>
                <w:rFonts w:ascii="Century Gothic;sans-serif" w:hAnsi="Century Gothic;sans-serif"/>
                <w:sz w:val="22"/>
              </w:rPr>
              <w:t xml:space="preserve">2. Primeiro ponto a ser considerado é que a conduta dos adolescentes foi tangencial em relação a aquela praticada pelos imputáveis. Ou seja: embora respondam todos pelo resultado, a culpabilidade dos adolescentes é distinta daquela atribuída aos imputáveis, mentores intelectuais e principais executores da ação típica. 3. A culpabilidade reduzida dos adolescentes, quando associada à primariedade, que no caso é qualificada pela ausência de qualquer outro antecedente infracional, é reveladora de que ambos não se encontram inseridos no meio delinquente, o que pode ser bem aquilatado pelo conteúdo dos relatórios sociais e, em especial, nos depoimentos registrados pelo sistema audiovisual, onde </w:t>
            </w:r>
            <w:r>
              <w:rPr>
                <w:rFonts w:ascii="Century Gothic;sans-serif" w:hAnsi="Century Gothic;sans-serif"/>
                <w:b/>
                <w:sz w:val="22"/>
              </w:rPr>
              <w:t>é possível notar a ausência de traços característicos da ambiência infracional, seja no modo de se portar ou expressar.</w:t>
            </w:r>
            <w:r>
              <w:rPr>
                <w:rFonts w:ascii="Century Gothic;sans-serif" w:hAnsi="Century Gothic;sans-serif"/>
                <w:sz w:val="22"/>
              </w:rPr>
              <w:t xml:space="preserve"> 4. As condições pessoais favoráveis, por outro lado, foram ressaltadas pelos técnicos da Fundação Casa, devendo ser destacado que ambos: a) não são usuários de drogas; b) encontram-se cursando o ensino regular; c) trabalham (L.F.S. em quiosques bem assim no comércio dos pais; W.C.S. em um supermercado); d) possuem famílias estruturadas; e) estão se comportando adequadamente no período de internação. 5. A hipótese, pois, é de parcial provimento dos recursos para o fim de substituir a medida socioeducativa de internação por liberdade assistida cumulada com prestação de serviços.</w:t>
            </w:r>
            <w:r/>
          </w:p>
        </w:tc>
      </w:tr>
      <w:tr>
        <w:trPr/>
        <w:tc>
          <w:tcPr>
            <w:tcW w:w="3593" w:type="dxa"/>
            <w:gridSpan w:val="9"/>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6600"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131"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9086" w:type="dxa"/>
            <w:gridSpan w:val="3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r>
      <w:tr>
        <w:trPr/>
        <w:tc>
          <w:tcPr>
            <w:tcW w:w="3593" w:type="dxa"/>
            <w:gridSpan w:val="9"/>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6600"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131"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9026" w:type="dxa"/>
            <w:gridSpan w:val="3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5C0B" w:val="clear"/>
            <w:tcMar>
              <w:left w:w="98" w:type="dxa"/>
            </w:tcMar>
          </w:tcPr>
          <w:p>
            <w:pPr>
              <w:pStyle w:val="Contedodatabela"/>
              <w:spacing w:before="0" w:after="0"/>
              <w:rPr>
                <w:sz w:val="20"/>
                <w:b/>
                <w:sz w:val="20"/>
                <w:b/>
                <w:rFonts w:ascii="Century Gothic;sans-serif" w:hAnsi="Century Gothic;sans-serif"/>
                <w:color w:val="FFFFFF"/>
              </w:rPr>
            </w:pPr>
            <w:r>
              <w:rPr>
                <w:rFonts w:ascii="Century Gothic;sans-serif" w:hAnsi="Century Gothic;sans-serif"/>
                <w:b/>
                <w:color w:val="FFFFFF"/>
                <w:sz w:val="20"/>
              </w:rPr>
              <w:t>Apelação nº 0003890-94.2014.8.26.0441. Rel. Artur Marques. J. 30.03.2015</w:t>
            </w:r>
            <w:r/>
          </w:p>
        </w:tc>
        <w:tc>
          <w:tcPr>
            <w:tcW w:w="6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ind w:left="0" w:right="0" w:hanging="0"/>
              <w:rPr>
                <w:sz w:val="4"/>
                <w:sz w:val="4"/>
                <w:szCs w:val="4"/>
                <w:rFonts w:ascii="Liberation Serif" w:hAnsi="Liberation Serif" w:eastAsia="SimSun" w:cs="Mangal"/>
                <w:color w:val="00000A"/>
                <w:lang w:val="pt-BR" w:eastAsia="zh-CN" w:bidi="hi-IN"/>
              </w:rPr>
            </w:pPr>
            <w:r>
              <w:rPr>
                <w:sz w:val="4"/>
                <w:szCs w:val="4"/>
              </w:rPr>
            </w:r>
            <w:r/>
          </w:p>
        </w:tc>
      </w:tr>
      <w:tr>
        <w:trPr/>
        <w:tc>
          <w:tcPr>
            <w:tcW w:w="6963" w:type="dxa"/>
            <w:gridSpan w:val="2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99" w:val="clear"/>
            <w:tcMar>
              <w:left w:w="98" w:type="dxa"/>
            </w:tcMar>
          </w:tcPr>
          <w:p>
            <w:pPr>
              <w:pStyle w:val="Contedodatabela"/>
              <w:spacing w:lineRule="auto" w:line="360" w:before="0" w:after="0"/>
              <w:jc w:val="both"/>
            </w:pPr>
            <w:r>
              <w:rPr>
                <w:rFonts w:ascii="Century Gothic;sans-serif" w:hAnsi="Century Gothic;sans-serif"/>
                <w:b/>
                <w:sz w:val="22"/>
              </w:rPr>
              <w:t>Apuração de ato infracional análogo a desobediência cumulada com roubo tentado.</w:t>
            </w:r>
            <w:r>
              <w:rPr/>
              <w:t xml:space="preserve"> </w:t>
            </w:r>
            <w:r>
              <w:rPr>
                <w:rFonts w:ascii="Century Gothic;sans-serif" w:hAnsi="Century Gothic;sans-serif"/>
                <w:sz w:val="22"/>
              </w:rPr>
              <w:t>Alegação de inexistência de animus rem sibi habendi que implicaria a atipicidade da conduta. Conjunto probatório que confirma a materialidade do fato e sua autoria. “</w:t>
            </w:r>
            <w:r>
              <w:rPr>
                <w:rFonts w:ascii="Century Gothic;sans-serif" w:hAnsi="Century Gothic;sans-serif"/>
                <w:b/>
                <w:sz w:val="22"/>
              </w:rPr>
              <w:t>Roubo de uso”. Figura inexistente no sistema jurídico pátrio</w:t>
            </w:r>
            <w:r>
              <w:rPr>
                <w:rFonts w:ascii="Century Gothic;sans-serif" w:hAnsi="Century Gothic;sans-serif"/>
                <w:sz w:val="22"/>
              </w:rPr>
              <w:t xml:space="preserve">. Tipo penal ao qual basta o apossamento, independentemente da sua finalidade. Comprovado o emprego de violência. </w:t>
            </w:r>
            <w:r>
              <w:rPr>
                <w:rFonts w:ascii="Century Gothic;sans-serif" w:hAnsi="Century Gothic;sans-serif"/>
                <w:b/>
                <w:sz w:val="22"/>
              </w:rPr>
              <w:t>Bem que pertence a pessoas conhecidas ao apelante. Irrelevância. Medida socioeducativa de internação bem aplicada.</w:t>
            </w:r>
            <w:r>
              <w:rPr>
                <w:rFonts w:ascii="Century Gothic;sans-serif" w:hAnsi="Century Gothic;sans-serif"/>
                <w:sz w:val="22"/>
              </w:rPr>
              <w:t xml:space="preserve"> Menor que tem diversas passagens pela prática infracional perante a Vara da Infância e Juventude. Medida menos gravosa que se revelou inócua. Aplicação do art. 122, I, ECA. Recurso não provido.</w:t>
            </w:r>
            <w:r/>
          </w:p>
        </w:tc>
        <w:tc>
          <w:tcPr>
            <w:tcW w:w="83" w:type="dxa"/>
            <w:gridSpan w:val="2"/>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5764" w:type="dxa"/>
            <w:gridSpan w:val="18"/>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5C0B" w:val="clear"/>
            <w:tcMar>
              <w:left w:w="98" w:type="dxa"/>
            </w:tcMar>
            <w:vAlign w:val="center"/>
          </w:tcPr>
          <w:p>
            <w:pPr>
              <w:pStyle w:val="Contedodatabela"/>
              <w:spacing w:before="0" w:after="0"/>
              <w:ind w:left="113" w:right="113" w:hanging="0"/>
              <w:jc w:val="center"/>
              <w:rPr>
                <w:smallCaps/>
                <w:sz w:val="40"/>
                <w:b/>
                <w:sz w:val="40"/>
                <w:b/>
                <w:rFonts w:ascii="Century Gothic;sans-serif" w:hAnsi="Century Gothic;sans-serif"/>
                <w:color w:val="FFFFFF"/>
              </w:rPr>
            </w:pPr>
            <w:r>
              <w:rPr>
                <w:rFonts w:ascii="Century Gothic;sans-serif" w:hAnsi="Century Gothic;sans-serif"/>
                <w:b/>
                <w:smallCaps/>
                <w:color w:val="FFFFFF"/>
                <w:sz w:val="40"/>
              </w:rPr>
              <w:t>Ato Infracional</w:t>
            </w:r>
            <w:r/>
          </w:p>
        </w:tc>
      </w:tr>
      <w:tr>
        <w:trPr/>
        <w:tc>
          <w:tcPr>
            <w:tcW w:w="6963" w:type="dxa"/>
            <w:gridSpan w:val="2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83" w:type="dxa"/>
            <w:gridSpan w:val="2"/>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5764" w:type="dxa"/>
            <w:gridSpan w:val="18"/>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5C0B"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r>
      <w:tr>
        <w:trPr/>
        <w:tc>
          <w:tcPr>
            <w:tcW w:w="1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ind w:left="0" w:right="0" w:hanging="0"/>
              <w:rPr>
                <w:sz w:val="4"/>
                <w:sz w:val="4"/>
                <w:szCs w:val="4"/>
                <w:rFonts w:ascii="Liberation Serif" w:hAnsi="Liberation Serif" w:eastAsia="SimSun" w:cs="Mangal"/>
                <w:color w:val="00000A"/>
                <w:lang w:val="pt-BR" w:eastAsia="zh-CN" w:bidi="hi-IN"/>
              </w:rPr>
            </w:pPr>
            <w:r>
              <w:rPr>
                <w:sz w:val="4"/>
                <w:szCs w:val="4"/>
              </w:rPr>
            </w:r>
            <w:r/>
          </w:p>
        </w:tc>
        <w:tc>
          <w:tcPr>
            <w:tcW w:w="6843" w:type="dxa"/>
            <w:gridSpan w:val="25"/>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5C0B" w:val="clear"/>
            <w:tcMar>
              <w:left w:w="98" w:type="dxa"/>
            </w:tcMar>
          </w:tcPr>
          <w:p>
            <w:pPr>
              <w:pStyle w:val="Contedodatabela"/>
              <w:spacing w:before="0" w:after="0"/>
              <w:jc w:val="right"/>
              <w:rPr>
                <w:sz w:val="20"/>
                <w:b/>
                <w:sz w:val="20"/>
                <w:b/>
                <w:rFonts w:ascii="Century Gothic;sans-serif" w:hAnsi="Century Gothic;sans-serif"/>
                <w:color w:val="FFFFFF"/>
              </w:rPr>
            </w:pPr>
            <w:r>
              <w:rPr>
                <w:rFonts w:ascii="Century Gothic;sans-serif" w:hAnsi="Century Gothic;sans-serif"/>
                <w:b/>
                <w:color w:val="FFFFFF"/>
                <w:sz w:val="20"/>
              </w:rPr>
              <w:t>Apelação nº 0002786-89.2014.8.26.0660. Rel. Lidia Conceição. J. 27.04.2015</w:t>
            </w:r>
            <w:r/>
          </w:p>
        </w:tc>
        <w:tc>
          <w:tcPr>
            <w:tcW w:w="83" w:type="dxa"/>
            <w:gridSpan w:val="2"/>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5764" w:type="dxa"/>
            <w:gridSpan w:val="18"/>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5C0B"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r>
      <w:tr>
        <w:trPr/>
        <w:tc>
          <w:tcPr>
            <w:tcW w:w="1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6843" w:type="dxa"/>
            <w:gridSpan w:val="25"/>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83"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5764" w:type="dxa"/>
            <w:gridSpan w:val="18"/>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r>
      <w:tr>
        <w:trPr/>
        <w:tc>
          <w:tcPr>
            <w:tcW w:w="4220" w:type="dxa"/>
            <w:gridSpan w:val="15"/>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6600" w:val="clear"/>
            <w:tcMar>
              <w:left w:w="98" w:type="dxa"/>
            </w:tcMar>
            <w:vAlign w:val="center"/>
          </w:tcPr>
          <w:p>
            <w:pPr>
              <w:pStyle w:val="Contedodatabela"/>
              <w:spacing w:before="0" w:after="0"/>
              <w:ind w:left="113" w:right="113" w:hanging="0"/>
              <w:jc w:val="center"/>
              <w:rPr>
                <w:smallCaps/>
                <w:sz w:val="40"/>
                <w:b/>
                <w:sz w:val="40"/>
                <w:b/>
                <w:rFonts w:ascii="Century Gothic;sans-serif" w:hAnsi="Century Gothic;sans-serif"/>
                <w:color w:val="FFFFFF"/>
              </w:rPr>
            </w:pPr>
            <w:r>
              <w:rPr>
                <w:rFonts w:ascii="Century Gothic;sans-serif" w:hAnsi="Century Gothic;sans-serif"/>
                <w:b/>
                <w:smallCaps/>
                <w:color w:val="FFFFFF"/>
                <w:sz w:val="40"/>
              </w:rPr>
              <w:t>Medida Socieducativa</w:t>
            </w:r>
            <w:r/>
          </w:p>
        </w:tc>
        <w:tc>
          <w:tcPr>
            <w:tcW w:w="111"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8479" w:type="dxa"/>
            <w:gridSpan w:val="30"/>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99" w:val="clear"/>
            <w:tcMar>
              <w:left w:w="98" w:type="dxa"/>
            </w:tcMar>
          </w:tcPr>
          <w:p>
            <w:pPr>
              <w:pStyle w:val="Contedodatabela"/>
              <w:spacing w:lineRule="auto" w:line="360" w:before="0" w:after="0"/>
              <w:jc w:val="both"/>
            </w:pPr>
            <w:r>
              <w:rPr>
                <w:rFonts w:ascii="Century Gothic;sans-serif" w:hAnsi="Century Gothic;sans-serif"/>
                <w:sz w:val="22"/>
              </w:rPr>
              <w:t xml:space="preserve">Representação pela prática de ato infracional que foi julgada procedente, aplicando-se à menor medida socioeducativa em meio aberto. </w:t>
            </w:r>
            <w:r>
              <w:rPr>
                <w:rFonts w:ascii="Century Gothic;sans-serif" w:hAnsi="Century Gothic;sans-serif"/>
                <w:b/>
                <w:sz w:val="22"/>
              </w:rPr>
              <w:t>Paciente que não vem cumprindo a medida imposta. Busca e apreensão da menor decretada para apresentação em audiência de justificação</w:t>
            </w:r>
            <w:r>
              <w:rPr>
                <w:rFonts w:ascii="Century Gothic;sans-serif" w:hAnsi="Century Gothic;sans-serif"/>
                <w:sz w:val="22"/>
              </w:rPr>
              <w:t xml:space="preserve">. Cabimento 'in casu'. Ordem judicial que foi precedida de tentativa frustrada de intimação pessoal da menor, porque, conforme certificado por Oficial de Justiça, ela não foi localizada no endereço declinado nos autos. </w:t>
            </w:r>
            <w:r>
              <w:rPr>
                <w:rFonts w:ascii="Century Gothic;sans-serif" w:hAnsi="Century Gothic;sans-serif"/>
                <w:b/>
                <w:sz w:val="22"/>
              </w:rPr>
              <w:t>Menor que estava obrigada a informar ao Juízo qualquer alteração do local em que poderia ser encontrada. Inexigibilidade de prévia expedição de ofícios pelo d. Juízo para sua localização</w:t>
            </w:r>
            <w:r>
              <w:rPr>
                <w:rFonts w:ascii="Century Gothic;sans-serif" w:hAnsi="Century Gothic;sans-serif"/>
                <w:sz w:val="22"/>
              </w:rPr>
              <w:t xml:space="preserve">. Inexistência de ofensa ao contraditório ou à ampla defesa. </w:t>
            </w:r>
            <w:r>
              <w:rPr>
                <w:rFonts w:ascii="Century Gothic;sans-serif" w:hAnsi="Century Gothic;sans-serif"/>
                <w:b/>
                <w:sz w:val="22"/>
              </w:rPr>
              <w:t>Medida que não implica regressão, não tendo sido aplicada a internação-sanção.</w:t>
            </w:r>
            <w:r>
              <w:rPr>
                <w:rFonts w:ascii="Century Gothic;sans-serif" w:hAnsi="Century Gothic;sans-serif"/>
                <w:sz w:val="22"/>
              </w:rPr>
              <w:t xml:space="preserve"> Legalidade e adequação da medida. Preservação dos superiores interesses da menor. Ordem denegada.</w:t>
            </w:r>
            <w:r/>
          </w:p>
        </w:tc>
      </w:tr>
      <w:tr>
        <w:trPr/>
        <w:tc>
          <w:tcPr>
            <w:tcW w:w="4220" w:type="dxa"/>
            <w:gridSpan w:val="15"/>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6600"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111"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8479" w:type="dxa"/>
            <w:gridSpan w:val="30"/>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r>
      <w:tr>
        <w:trPr/>
        <w:tc>
          <w:tcPr>
            <w:tcW w:w="4220" w:type="dxa"/>
            <w:gridSpan w:val="15"/>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6600"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111"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8419" w:type="dxa"/>
            <w:gridSpan w:val="28"/>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5C0B" w:val="clear"/>
            <w:tcMar>
              <w:left w:w="98" w:type="dxa"/>
            </w:tcMar>
          </w:tcPr>
          <w:p>
            <w:pPr>
              <w:pStyle w:val="Contedodatabela"/>
              <w:spacing w:before="0" w:after="0"/>
              <w:rPr>
                <w:sz w:val="20"/>
                <w:b/>
                <w:sz w:val="20"/>
                <w:b/>
                <w:rFonts w:ascii="Century Gothic;sans-serif" w:hAnsi="Century Gothic;sans-serif"/>
                <w:color w:val="FFFFFF"/>
              </w:rPr>
            </w:pPr>
            <w:r>
              <w:rPr>
                <w:rFonts w:ascii="Century Gothic;sans-serif" w:hAnsi="Century Gothic;sans-serif"/>
                <w:b/>
                <w:color w:val="FFFFFF"/>
                <w:sz w:val="20"/>
              </w:rPr>
              <w:t>Habeas Corpus nº 2223117-17.2014.8.26.0000. Rel. Walter Barone. J. 30.03.2015</w:t>
            </w:r>
            <w:r/>
          </w:p>
        </w:tc>
        <w:tc>
          <w:tcPr>
            <w:tcW w:w="6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ind w:left="0" w:right="0" w:hanging="0"/>
              <w:rPr>
                <w:sz w:val="4"/>
                <w:sz w:val="4"/>
                <w:szCs w:val="4"/>
                <w:rFonts w:ascii="Liberation Serif" w:hAnsi="Liberation Serif" w:eastAsia="SimSun" w:cs="Mangal"/>
                <w:color w:val="00000A"/>
                <w:lang w:val="pt-BR" w:eastAsia="zh-CN" w:bidi="hi-IN"/>
              </w:rPr>
            </w:pPr>
            <w:r>
              <w:rPr>
                <w:sz w:val="4"/>
                <w:szCs w:val="4"/>
              </w:rPr>
            </w:r>
            <w:r/>
          </w:p>
        </w:tc>
      </w:tr>
      <w:tr>
        <w:trPr/>
        <w:tc>
          <w:tcPr>
            <w:tcW w:w="5963" w:type="dxa"/>
            <w:gridSpan w:val="19"/>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99" w:val="clear"/>
            <w:tcMar>
              <w:left w:w="98" w:type="dxa"/>
            </w:tcMar>
          </w:tcPr>
          <w:p>
            <w:pPr>
              <w:pStyle w:val="Contedodatabela"/>
              <w:spacing w:lineRule="auto" w:line="360" w:before="0" w:after="0"/>
              <w:jc w:val="both"/>
            </w:pPr>
            <w:r>
              <w:rPr>
                <w:rFonts w:ascii="Century Gothic;sans-serif" w:hAnsi="Century Gothic;sans-serif"/>
                <w:sz w:val="22"/>
              </w:rPr>
              <w:t xml:space="preserve">Execução de medida socioeducativa. </w:t>
            </w:r>
            <w:r>
              <w:rPr>
                <w:rFonts w:ascii="Century Gothic;sans-serif" w:hAnsi="Century Gothic;sans-serif"/>
                <w:b/>
                <w:sz w:val="22"/>
              </w:rPr>
              <w:t>Ato infracional equiparado a Tráfico de Entorpecentes. Aplicação de liberdade assistida e prestação de serviços à comunidade. Representação posterior pela prática de outro ato infracional equiparado a tráfico</w:t>
            </w:r>
            <w:r>
              <w:rPr>
                <w:rFonts w:ascii="Century Gothic;sans-serif" w:hAnsi="Century Gothic;sans-serif"/>
                <w:sz w:val="22"/>
              </w:rPr>
              <w:t xml:space="preserve">. Sobreveio sentença aplicando medida de internação ao menor. Decisão agravada que determinou a suspensão da execução das medidas em meio aberto, até o trânsito em julgado da r. sentença. </w:t>
            </w:r>
            <w:r>
              <w:rPr>
                <w:rFonts w:ascii="Century Gothic;sans-serif" w:hAnsi="Century Gothic;sans-serif"/>
                <w:b/>
                <w:sz w:val="22"/>
              </w:rPr>
              <w:t>Agravante aduz da impossibilidade da suspensão da execução das medidas anteriormente impostas, antes do trânsito em julgado da r. sentença, uma vez que a internação ainda não pode ser aplicada ou unificada.</w:t>
            </w:r>
            <w:r>
              <w:rPr>
                <w:rFonts w:ascii="Century Gothic;sans-serif" w:hAnsi="Century Gothic;sans-serif"/>
                <w:sz w:val="22"/>
              </w:rPr>
              <w:t xml:space="preserve"> Possibilidade da suspensão. Inadequação das medidas anteriores constatada. Reavaliação das medidas aplicadas, com manutenção ou substituição a qualquer tempo. Notícia dos autos que indicam o recebimento do recurso de apelação apenas no seu efeito devolutivo. </w:t>
            </w:r>
            <w:r>
              <w:rPr>
                <w:rFonts w:ascii="Century Gothic;sans-serif" w:hAnsi="Century Gothic;sans-serif"/>
                <w:b/>
                <w:sz w:val="22"/>
              </w:rPr>
              <w:t>Medida de internação já em execução que impede o prosseguimento das medidas socioeducativas impostas anteriormente, a serem cumpridas em meio aberto.</w:t>
            </w:r>
            <w:r>
              <w:rPr>
                <w:rFonts w:ascii="Century Gothic;sans-serif" w:hAnsi="Century Gothic;sans-serif"/>
                <w:sz w:val="22"/>
              </w:rPr>
              <w:t xml:space="preserve"> Recurso não provido.</w:t>
            </w:r>
            <w:r/>
          </w:p>
        </w:tc>
        <w:tc>
          <w:tcPr>
            <w:tcW w:w="70"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6777" w:type="dxa"/>
            <w:gridSpan w:val="26"/>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5C0B" w:val="clear"/>
            <w:tcMar>
              <w:left w:w="98" w:type="dxa"/>
            </w:tcMar>
            <w:vAlign w:val="center"/>
          </w:tcPr>
          <w:p>
            <w:pPr>
              <w:pStyle w:val="Contedodatabela"/>
              <w:spacing w:before="0" w:after="0"/>
              <w:ind w:left="113" w:right="113" w:hanging="0"/>
              <w:jc w:val="center"/>
              <w:rPr>
                <w:smallCaps/>
                <w:sz w:val="40"/>
                <w:b/>
                <w:sz w:val="40"/>
                <w:b/>
                <w:rFonts w:ascii="Century Gothic;sans-serif" w:hAnsi="Century Gothic;sans-serif"/>
                <w:color w:val="FFFFFF"/>
              </w:rPr>
            </w:pPr>
            <w:r>
              <w:rPr>
                <w:rFonts w:ascii="Century Gothic;sans-serif" w:hAnsi="Century Gothic;sans-serif"/>
                <w:b/>
                <w:smallCaps/>
                <w:color w:val="FFFFFF"/>
                <w:sz w:val="40"/>
              </w:rPr>
              <w:t>Medida Socioeducativa</w:t>
            </w:r>
            <w:r/>
          </w:p>
        </w:tc>
      </w:tr>
      <w:tr>
        <w:trPr/>
        <w:tc>
          <w:tcPr>
            <w:tcW w:w="5963" w:type="dxa"/>
            <w:gridSpan w:val="19"/>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7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6777" w:type="dxa"/>
            <w:gridSpan w:val="26"/>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5C0B"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r>
      <w:tr>
        <w:trPr/>
        <w:tc>
          <w:tcPr>
            <w:tcW w:w="513"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ind w:left="0" w:right="0" w:hanging="0"/>
              <w:rPr>
                <w:sz w:val="4"/>
                <w:sz w:val="4"/>
                <w:szCs w:val="4"/>
                <w:rFonts w:ascii="Liberation Serif" w:hAnsi="Liberation Serif" w:eastAsia="SimSun" w:cs="Mangal"/>
                <w:color w:val="00000A"/>
                <w:lang w:val="pt-BR" w:eastAsia="zh-CN" w:bidi="hi-IN"/>
              </w:rPr>
            </w:pPr>
            <w:r>
              <w:rPr>
                <w:sz w:val="4"/>
                <w:szCs w:val="4"/>
              </w:rPr>
            </w:r>
            <w:r/>
          </w:p>
        </w:tc>
        <w:tc>
          <w:tcPr>
            <w:tcW w:w="5450" w:type="dxa"/>
            <w:gridSpan w:val="17"/>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5C0B" w:val="clear"/>
            <w:tcMar>
              <w:left w:w="98" w:type="dxa"/>
            </w:tcMar>
          </w:tcPr>
          <w:p>
            <w:pPr>
              <w:pStyle w:val="Contedodatabela"/>
              <w:spacing w:before="0" w:after="0"/>
              <w:jc w:val="right"/>
              <w:rPr>
                <w:sz w:val="20"/>
                <w:b/>
                <w:sz w:val="20"/>
                <w:b/>
                <w:rFonts w:ascii="Century Gothic;sans-serif" w:hAnsi="Century Gothic;sans-serif"/>
                <w:color w:val="FFFFFF"/>
              </w:rPr>
            </w:pPr>
            <w:r>
              <w:rPr>
                <w:rFonts w:ascii="Century Gothic;sans-serif" w:hAnsi="Century Gothic;sans-serif"/>
                <w:b/>
                <w:color w:val="FFFFFF"/>
                <w:sz w:val="20"/>
              </w:rPr>
              <w:t>Agravo de Instrumento nº 2216694-41.2014.8.26.0000. Rel. Lidia Conceição. J. 13.04.2015</w:t>
            </w:r>
            <w:r/>
          </w:p>
        </w:tc>
        <w:tc>
          <w:tcPr>
            <w:tcW w:w="7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6777" w:type="dxa"/>
            <w:gridSpan w:val="26"/>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5C0B"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r>
      <w:tr>
        <w:trPr/>
        <w:tc>
          <w:tcPr>
            <w:tcW w:w="513"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5450" w:type="dxa"/>
            <w:gridSpan w:val="17"/>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7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6777" w:type="dxa"/>
            <w:gridSpan w:val="2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r>
      <w:tr>
        <w:trPr/>
        <w:tc>
          <w:tcPr>
            <w:tcW w:w="4608" w:type="dxa"/>
            <w:gridSpan w:val="17"/>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6600" w:val="clear"/>
            <w:tcMar>
              <w:left w:w="98" w:type="dxa"/>
            </w:tcMar>
            <w:vAlign w:val="center"/>
          </w:tcPr>
          <w:p>
            <w:pPr>
              <w:pStyle w:val="Contedodatabela"/>
              <w:spacing w:before="0" w:after="0"/>
              <w:ind w:left="113" w:right="113" w:hanging="0"/>
              <w:jc w:val="center"/>
              <w:rPr>
                <w:smallCaps/>
                <w:sz w:val="40"/>
                <w:b/>
                <w:sz w:val="40"/>
                <w:b/>
                <w:rFonts w:ascii="Century Gothic;sans-serif" w:hAnsi="Century Gothic;sans-serif"/>
                <w:color w:val="FFFFFF"/>
              </w:rPr>
            </w:pPr>
            <w:r>
              <w:rPr>
                <w:rFonts w:ascii="Century Gothic;sans-serif" w:hAnsi="Century Gothic;sans-serif"/>
                <w:b/>
                <w:smallCaps/>
                <w:color w:val="FFFFFF"/>
                <w:sz w:val="40"/>
              </w:rPr>
              <w:t>Medida Socioeducativa</w:t>
            </w:r>
            <w:r/>
          </w:p>
        </w:tc>
        <w:tc>
          <w:tcPr>
            <w:tcW w:w="112"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8090" w:type="dxa"/>
            <w:gridSpan w:val="28"/>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99" w:val="clear"/>
            <w:tcMar>
              <w:left w:w="98" w:type="dxa"/>
            </w:tcMar>
          </w:tcPr>
          <w:p>
            <w:pPr>
              <w:pStyle w:val="Contedodatabela"/>
              <w:spacing w:lineRule="auto" w:line="360" w:before="0" w:after="0"/>
              <w:jc w:val="both"/>
            </w:pPr>
            <w:r>
              <w:rPr>
                <w:rFonts w:ascii="Century Gothic;sans-serif" w:hAnsi="Century Gothic;sans-serif"/>
                <w:sz w:val="22"/>
              </w:rPr>
              <w:t xml:space="preserve">Representação pela prática de ato infracional que foi julgada procedente, com aplicação da medida socioeducativa de internação, posteriormente substituída pela de liberdade assistida. </w:t>
            </w:r>
            <w:r>
              <w:rPr>
                <w:rFonts w:ascii="Century Gothic;sans-serif" w:hAnsi="Century Gothic;sans-serif"/>
                <w:b/>
                <w:sz w:val="22"/>
              </w:rPr>
              <w:t>Notícia de que o jovem, que já alcançou a maioridade, está sendo processado criminalmente. Pedido de extinção da medida socioeducativa. Descabimento</w:t>
            </w:r>
            <w:r>
              <w:rPr>
                <w:rFonts w:ascii="Century Gothic;sans-serif" w:hAnsi="Century Gothic;sans-serif"/>
                <w:sz w:val="22"/>
              </w:rPr>
              <w:t xml:space="preserve">. Instauração de ação penal em desfavor do jovem que não justifica a extinção da medida socioeducativa imposta, ainda mais havendo notícia de que o paciente não a vinha cumprindo. Inteligência do artigo 46, da Lei nº 12.594/12. </w:t>
            </w:r>
            <w:r>
              <w:rPr>
                <w:rFonts w:ascii="Century Gothic;sans-serif" w:hAnsi="Century Gothic;sans-serif"/>
                <w:b/>
                <w:sz w:val="22"/>
              </w:rPr>
              <w:t>Alegação da defesa de que o paciente atingiu a maioridade. Irrelevância. As medidas socioeducativas podem ser cumpridas até os 21 anos de idade. Necessidade e utilidade da medida ainda presentes.</w:t>
            </w:r>
            <w:r>
              <w:rPr>
                <w:rFonts w:ascii="Century Gothic;sans-serif" w:hAnsi="Century Gothic;sans-serif"/>
                <w:sz w:val="22"/>
              </w:rPr>
              <w:t xml:space="preserve"> Impossibilidade do reconhecimento de ofensa ao sistema acusatório e ao princípio da inércia da jurisdição. Competência do Juiz da Infância e da Juventude para presidir a execução das medidas socioeducativas. Inexistência, ademais, de julgamento extra petita. Determinação legal e adequada. Ordem denegada.</w:t>
            </w:r>
            <w:r/>
          </w:p>
        </w:tc>
      </w:tr>
      <w:tr>
        <w:trPr/>
        <w:tc>
          <w:tcPr>
            <w:tcW w:w="4608" w:type="dxa"/>
            <w:gridSpan w:val="17"/>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6600"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112"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8090" w:type="dxa"/>
            <w:gridSpan w:val="28"/>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r>
      <w:tr>
        <w:trPr/>
        <w:tc>
          <w:tcPr>
            <w:tcW w:w="4608" w:type="dxa"/>
            <w:gridSpan w:val="17"/>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6600"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112"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8030" w:type="dxa"/>
            <w:gridSpan w:val="2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5C0B" w:val="clear"/>
            <w:tcMar>
              <w:left w:w="98" w:type="dxa"/>
            </w:tcMar>
          </w:tcPr>
          <w:p>
            <w:pPr>
              <w:pStyle w:val="Contedodatabela"/>
              <w:spacing w:before="0" w:after="0"/>
              <w:rPr>
                <w:sz w:val="20"/>
                <w:b/>
                <w:sz w:val="20"/>
                <w:b/>
                <w:rFonts w:ascii="Century Gothic;sans-serif" w:hAnsi="Century Gothic;sans-serif"/>
                <w:color w:val="FFFFFF"/>
              </w:rPr>
            </w:pPr>
            <w:r>
              <w:rPr>
                <w:rFonts w:ascii="Century Gothic;sans-serif" w:hAnsi="Century Gothic;sans-serif"/>
                <w:b/>
                <w:color w:val="FFFFFF"/>
                <w:sz w:val="20"/>
              </w:rPr>
              <w:t>Habeas Corpus nº 2185388-54.2014.8.26.0000. Rel. Walter Barone. J. 27.04.2015</w:t>
            </w:r>
            <w:r/>
          </w:p>
        </w:tc>
        <w:tc>
          <w:tcPr>
            <w:tcW w:w="6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ind w:left="0" w:right="0" w:hanging="0"/>
              <w:rPr>
                <w:sz w:val="4"/>
                <w:sz w:val="4"/>
                <w:szCs w:val="4"/>
                <w:rFonts w:ascii="Liberation Serif" w:hAnsi="Liberation Serif" w:eastAsia="SimSun" w:cs="Mangal"/>
                <w:color w:val="00000A"/>
                <w:lang w:val="pt-BR" w:eastAsia="zh-CN" w:bidi="hi-IN"/>
              </w:rPr>
            </w:pPr>
            <w:r>
              <w:rPr>
                <w:sz w:val="4"/>
                <w:szCs w:val="4"/>
              </w:rPr>
            </w:r>
            <w:r/>
          </w:p>
        </w:tc>
      </w:tr>
      <w:tr>
        <w:trPr/>
        <w:tc>
          <w:tcPr>
            <w:tcW w:w="6731" w:type="dxa"/>
            <w:gridSpan w:val="2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99" w:val="clear"/>
            <w:tcMar>
              <w:left w:w="98" w:type="dxa"/>
            </w:tcMar>
          </w:tcPr>
          <w:p>
            <w:pPr>
              <w:pStyle w:val="Contedodatabela"/>
              <w:spacing w:lineRule="auto" w:line="360" w:before="0" w:after="0"/>
              <w:jc w:val="both"/>
            </w:pPr>
            <w:r>
              <w:rPr>
                <w:rFonts w:ascii="Century Gothic;sans-serif" w:hAnsi="Century Gothic;sans-serif"/>
                <w:sz w:val="22"/>
              </w:rPr>
              <w:t xml:space="preserve">Ato infracional equiparado ao crime do art. 14, da Lei nº 10.826/03. </w:t>
            </w:r>
            <w:r>
              <w:rPr>
                <w:rFonts w:ascii="Century Gothic;sans-serif" w:hAnsi="Century Gothic;sans-serif"/>
                <w:b/>
                <w:sz w:val="22"/>
              </w:rPr>
              <w:t>Concedida remissão cumulada com medida de prestação de serviços à comunidade.</w:t>
            </w:r>
            <w:r>
              <w:rPr>
                <w:rFonts w:ascii="Century Gothic;sans-serif" w:hAnsi="Century Gothic;sans-serif"/>
                <w:sz w:val="22"/>
              </w:rPr>
              <w:t xml:space="preserve"> Relatório noticiando o descumprimento da medida. Decisão que determinou liminarmente a regressão do jovem à medida de semiliberdade, com a consequente expedição de mandado de busca e apreensão, a fim de que também fosse ouvido em juízo. </w:t>
            </w:r>
            <w:r>
              <w:rPr>
                <w:rFonts w:ascii="Century Gothic;sans-serif" w:hAnsi="Century Gothic;sans-serif"/>
                <w:b/>
                <w:sz w:val="22"/>
              </w:rPr>
              <w:t>Realizada audiência de justificação, durante a qual o E. Magistrado determinou a manutenção da medida de semiliberdade liminarmente imposta.</w:t>
            </w:r>
            <w:r>
              <w:rPr>
                <w:rFonts w:ascii="Century Gothic;sans-serif" w:hAnsi="Century Gothic;sans-serif"/>
                <w:sz w:val="22"/>
              </w:rPr>
              <w:t xml:space="preserve"> Hipótese, todavia, em que a substituição por medida mais gravosa exige, além da realização de prévia audiência, a vinda de parecer técnico, em conformidade com o artigo 43, § 4º, incisos I e II, da Lei nº 12.594/12. </w:t>
            </w:r>
            <w:r>
              <w:rPr>
                <w:rFonts w:ascii="Century Gothic;sans-serif" w:hAnsi="Century Gothic;sans-serif"/>
                <w:b/>
                <w:sz w:val="22"/>
              </w:rPr>
              <w:t>Constrangimento ilegal evidenciado</w:t>
            </w:r>
            <w:r>
              <w:rPr>
                <w:rFonts w:ascii="Century Gothic;sans-serif" w:hAnsi="Century Gothic;sans-serif"/>
                <w:sz w:val="22"/>
              </w:rPr>
              <w:t>. Ordem concedida, com observação.</w:t>
            </w:r>
            <w:r/>
          </w:p>
        </w:tc>
        <w:tc>
          <w:tcPr>
            <w:tcW w:w="79" w:type="dxa"/>
            <w:gridSpan w:val="2"/>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6000" w:type="dxa"/>
            <w:gridSpan w:val="22"/>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5C0B" w:val="clear"/>
            <w:tcMar>
              <w:left w:w="98" w:type="dxa"/>
            </w:tcMar>
            <w:vAlign w:val="center"/>
          </w:tcPr>
          <w:p>
            <w:pPr>
              <w:pStyle w:val="Contedodatabela"/>
              <w:spacing w:before="0" w:after="0"/>
              <w:ind w:left="113" w:right="113" w:hanging="0"/>
              <w:jc w:val="center"/>
            </w:pPr>
            <w:r>
              <w:rPr>
                <w:rFonts w:ascii="Century Gothic;sans-serif" w:hAnsi="Century Gothic;sans-serif"/>
                <w:b/>
                <w:smallCaps/>
                <w:color w:val="FFFFFF"/>
                <w:sz w:val="40"/>
              </w:rPr>
              <w:t>Questões Processuais</w:t>
            </w:r>
            <w:r>
              <w:rPr/>
              <w:t xml:space="preserve"> </w:t>
            </w:r>
            <w:r/>
          </w:p>
        </w:tc>
      </w:tr>
      <w:tr>
        <w:trPr/>
        <w:tc>
          <w:tcPr>
            <w:tcW w:w="6731" w:type="dxa"/>
            <w:gridSpan w:val="2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79" w:type="dxa"/>
            <w:gridSpan w:val="2"/>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6000" w:type="dxa"/>
            <w:gridSpan w:val="22"/>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5C0B"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r>
      <w:tr>
        <w:trPr/>
        <w:tc>
          <w:tcPr>
            <w:tcW w:w="1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ind w:left="0" w:right="0" w:hanging="0"/>
              <w:rPr>
                <w:sz w:val="4"/>
                <w:sz w:val="4"/>
                <w:szCs w:val="4"/>
                <w:rFonts w:ascii="Liberation Serif" w:hAnsi="Liberation Serif" w:eastAsia="SimSun" w:cs="Mangal"/>
                <w:color w:val="00000A"/>
                <w:lang w:val="pt-BR" w:eastAsia="zh-CN" w:bidi="hi-IN"/>
              </w:rPr>
            </w:pPr>
            <w:r>
              <w:rPr>
                <w:sz w:val="4"/>
                <w:szCs w:val="4"/>
              </w:rPr>
            </w:r>
            <w:r/>
          </w:p>
        </w:tc>
        <w:tc>
          <w:tcPr>
            <w:tcW w:w="6611" w:type="dxa"/>
            <w:gridSpan w:val="21"/>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5C0B" w:val="clear"/>
            <w:tcMar>
              <w:left w:w="98" w:type="dxa"/>
            </w:tcMar>
          </w:tcPr>
          <w:p>
            <w:pPr>
              <w:pStyle w:val="Contedodatabela"/>
              <w:spacing w:before="0" w:after="0"/>
              <w:jc w:val="right"/>
              <w:rPr>
                <w:sz w:val="20"/>
                <w:b/>
                <w:sz w:val="20"/>
                <w:b/>
                <w:rFonts w:ascii="Century Gothic;sans-serif" w:hAnsi="Century Gothic;sans-serif"/>
                <w:color w:val="FFFFFF"/>
              </w:rPr>
            </w:pPr>
            <w:r>
              <w:rPr>
                <w:rFonts w:ascii="Century Gothic;sans-serif" w:hAnsi="Century Gothic;sans-serif"/>
                <w:b/>
                <w:color w:val="FFFFFF"/>
                <w:sz w:val="20"/>
              </w:rPr>
              <w:t>Habeas Corpus nº 2008859-49.2015.8.26.0000. Rel. Pinheiro Franco. J. 30.03.2015</w:t>
            </w:r>
            <w:r/>
          </w:p>
        </w:tc>
        <w:tc>
          <w:tcPr>
            <w:tcW w:w="79" w:type="dxa"/>
            <w:gridSpan w:val="2"/>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6000" w:type="dxa"/>
            <w:gridSpan w:val="22"/>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5C0B"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r>
      <w:tr>
        <w:trPr/>
        <w:tc>
          <w:tcPr>
            <w:tcW w:w="1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6611" w:type="dxa"/>
            <w:gridSpan w:val="21"/>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79"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6000" w:type="dxa"/>
            <w:gridSpan w:val="2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r>
      <w:tr>
        <w:trPr/>
        <w:tc>
          <w:tcPr>
            <w:tcW w:w="3805" w:type="dxa"/>
            <w:gridSpan w:val="11"/>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6600" w:val="clear"/>
            <w:tcMar>
              <w:left w:w="98" w:type="dxa"/>
            </w:tcMar>
            <w:vAlign w:val="center"/>
          </w:tcPr>
          <w:p>
            <w:pPr>
              <w:pStyle w:val="Contedodatabela"/>
              <w:spacing w:before="0" w:after="0"/>
              <w:ind w:left="113" w:right="113" w:hanging="0"/>
              <w:jc w:val="center"/>
              <w:rPr>
                <w:smallCaps/>
                <w:sz w:val="40"/>
                <w:b/>
                <w:sz w:val="40"/>
                <w:b/>
                <w:rFonts w:ascii="Century Gothic;sans-serif" w:hAnsi="Century Gothic;sans-serif"/>
                <w:color w:val="FFFFFF"/>
              </w:rPr>
            </w:pPr>
            <w:r>
              <w:rPr>
                <w:rFonts w:ascii="Century Gothic;sans-serif" w:hAnsi="Century Gothic;sans-serif"/>
                <w:b/>
                <w:smallCaps/>
                <w:color w:val="FFFFFF"/>
                <w:sz w:val="40"/>
              </w:rPr>
              <w:t>Questões Processuais</w:t>
            </w:r>
            <w:r/>
          </w:p>
        </w:tc>
        <w:tc>
          <w:tcPr>
            <w:tcW w:w="130" w:type="dxa"/>
            <w:gridSpan w:val="2"/>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8875" w:type="dxa"/>
            <w:gridSpan w:val="3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99" w:val="clear"/>
            <w:tcMar>
              <w:left w:w="98" w:type="dxa"/>
            </w:tcMar>
          </w:tcPr>
          <w:p>
            <w:pPr>
              <w:pStyle w:val="Contedodatabela"/>
              <w:spacing w:lineRule="auto" w:line="360" w:before="0" w:after="0"/>
              <w:jc w:val="both"/>
            </w:pPr>
            <w:r>
              <w:rPr>
                <w:rFonts w:ascii="Century Gothic;sans-serif" w:hAnsi="Century Gothic;sans-serif"/>
                <w:b/>
                <w:sz w:val="22"/>
              </w:rPr>
              <w:t>Ação civil pública proposta pela Defensoria Pública visando à condenação de município à ampliação do número de creches, berçários e escolas infantis para todas as crianças carentes da comarca</w:t>
            </w:r>
            <w:r>
              <w:rPr>
                <w:rFonts w:ascii="Century Gothic;sans-serif" w:hAnsi="Century Gothic;sans-serif"/>
                <w:sz w:val="22"/>
              </w:rPr>
              <w:t xml:space="preserve">. Pedido improcedente. Recurso que pretende a reforma do julgado, afirmando a necessidade de se dar efetividade ao direito do jurisdicionado à vaga em creche sem a necessidade de ajuizamento de ação individual. Inadmissibilidade. </w:t>
            </w:r>
            <w:r>
              <w:rPr>
                <w:rFonts w:ascii="Century Gothic;sans-serif" w:hAnsi="Century Gothic;sans-serif"/>
                <w:b/>
                <w:sz w:val="22"/>
              </w:rPr>
              <w:t>Pedido genérico que não tem respaldo no disposto pelo artigo 286, do Código de Processo Civil. Poder discricionário do ente público que remanesce quanto à forma de cumprimento da obrigação imposta.</w:t>
            </w:r>
            <w:r>
              <w:rPr>
                <w:rFonts w:ascii="Century Gothic;sans-serif" w:hAnsi="Century Gothic;sans-serif"/>
                <w:sz w:val="22"/>
              </w:rPr>
              <w:t xml:space="preserve"> Recurso improvido.</w:t>
            </w:r>
            <w:r/>
          </w:p>
        </w:tc>
      </w:tr>
      <w:tr>
        <w:trPr/>
        <w:tc>
          <w:tcPr>
            <w:tcW w:w="3805" w:type="dxa"/>
            <w:gridSpan w:val="11"/>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6600"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130" w:type="dxa"/>
            <w:gridSpan w:val="2"/>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8875" w:type="dxa"/>
            <w:gridSpan w:val="3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r>
      <w:tr>
        <w:trPr/>
        <w:tc>
          <w:tcPr>
            <w:tcW w:w="3805" w:type="dxa"/>
            <w:gridSpan w:val="11"/>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6600"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130" w:type="dxa"/>
            <w:gridSpan w:val="2"/>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8815" w:type="dxa"/>
            <w:gridSpan w:val="31"/>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5C0B" w:val="clear"/>
            <w:tcMar>
              <w:left w:w="98" w:type="dxa"/>
            </w:tcMar>
          </w:tcPr>
          <w:p>
            <w:pPr>
              <w:pStyle w:val="Contedodatabela"/>
              <w:spacing w:before="0" w:after="0"/>
              <w:rPr>
                <w:sz w:val="20"/>
                <w:b/>
                <w:sz w:val="20"/>
                <w:b/>
                <w:rFonts w:ascii="Century Gothic;sans-serif" w:hAnsi="Century Gothic;sans-serif"/>
                <w:color w:val="FFFFFF"/>
              </w:rPr>
            </w:pPr>
            <w:r>
              <w:rPr>
                <w:rFonts w:ascii="Century Gothic;sans-serif" w:hAnsi="Century Gothic;sans-serif"/>
                <w:b/>
                <w:color w:val="FFFFFF"/>
                <w:sz w:val="20"/>
              </w:rPr>
              <w:t>Apelação nº 0001995-18.2012.8.26.0361. Rel. Pinheiro Franco. J. 13.04.2015</w:t>
            </w:r>
            <w:r/>
          </w:p>
        </w:tc>
        <w:tc>
          <w:tcPr>
            <w:tcW w:w="6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ind w:left="0" w:right="0" w:hanging="0"/>
              <w:rPr>
                <w:sz w:val="4"/>
                <w:sz w:val="4"/>
                <w:szCs w:val="4"/>
                <w:rFonts w:ascii="Liberation Serif" w:hAnsi="Liberation Serif" w:eastAsia="SimSun" w:cs="Mangal"/>
                <w:color w:val="00000A"/>
                <w:lang w:val="pt-BR" w:eastAsia="zh-CN" w:bidi="hi-IN"/>
              </w:rPr>
            </w:pPr>
            <w:r>
              <w:rPr>
                <w:sz w:val="4"/>
                <w:szCs w:val="4"/>
              </w:rPr>
            </w:r>
            <w:r/>
          </w:p>
        </w:tc>
      </w:tr>
      <w:tr>
        <w:trPr/>
        <w:tc>
          <w:tcPr>
            <w:tcW w:w="6917" w:type="dxa"/>
            <w:gridSpan w:val="25"/>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99" w:val="clear"/>
            <w:tcMar>
              <w:left w:w="98" w:type="dxa"/>
            </w:tcMar>
          </w:tcPr>
          <w:p>
            <w:pPr>
              <w:pStyle w:val="Contedodatabela"/>
              <w:spacing w:lineRule="auto" w:line="360" w:before="0" w:after="0"/>
              <w:jc w:val="both"/>
            </w:pPr>
            <w:r>
              <w:rPr>
                <w:rFonts w:ascii="Century Gothic;sans-serif" w:hAnsi="Century Gothic;sans-serif"/>
                <w:sz w:val="22"/>
              </w:rPr>
              <w:t xml:space="preserve">Ato infracional equiparado ao crime estupro de vulnerável. Liberdade assistida. </w:t>
            </w:r>
            <w:r>
              <w:rPr>
                <w:rFonts w:ascii="Century Gothic;sans-serif" w:hAnsi="Century Gothic;sans-serif"/>
                <w:b/>
                <w:sz w:val="22"/>
              </w:rPr>
              <w:t>Prescrição. Inocorrência. Aplicabilidade do instituto da prescrição às medidas socioeducativas. Súmula nº 338, STJ.</w:t>
            </w:r>
            <w:r>
              <w:rPr>
                <w:rFonts w:ascii="Century Gothic;sans-serif" w:hAnsi="Century Gothic;sans-serif"/>
                <w:sz w:val="22"/>
              </w:rPr>
              <w:t xml:space="preserve"> Incidência, por analogia, das disposições do Código Penal acerca da prescrição. </w:t>
            </w:r>
            <w:r>
              <w:rPr>
                <w:rFonts w:ascii="Century Gothic;sans-serif" w:hAnsi="Century Gothic;sans-serif"/>
                <w:b/>
                <w:sz w:val="22"/>
              </w:rPr>
              <w:t xml:space="preserve">Prazo que deve ser calculado com base na pena máxima cominada. Impossibilidade de utilização do prazo de seis meses previsto no art. 118, §2º, ECA para o cumprimento mínimo da medida. </w:t>
            </w:r>
            <w:r>
              <w:rPr>
                <w:rFonts w:ascii="Century Gothic;sans-serif" w:hAnsi="Century Gothic;sans-serif"/>
                <w:sz w:val="22"/>
              </w:rPr>
              <w:t>Ausência de previsão expressa no ECA da pena máxima para a privação de liberdade. Utilização do prazo máximo de três anos para a internação, o que implica a incidência do prazo prescricional de 8 anos, nos termos do art. 109, IV, CP. Ainda com a diminuição prevista no art. 115, CP, o prazo prescricional de 4 anos não transcorreu até a prolação da sentença. Prescrição da pretensão não configurada. Ordem denegada.</w:t>
            </w:r>
            <w:r/>
          </w:p>
        </w:tc>
        <w:tc>
          <w:tcPr>
            <w:tcW w:w="81" w:type="dxa"/>
            <w:gridSpan w:val="2"/>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5812" w:type="dxa"/>
            <w:gridSpan w:val="19"/>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5C0B" w:val="clear"/>
            <w:tcMar>
              <w:left w:w="98" w:type="dxa"/>
            </w:tcMar>
            <w:vAlign w:val="center"/>
          </w:tcPr>
          <w:p>
            <w:pPr>
              <w:pStyle w:val="Contedodatabela"/>
              <w:spacing w:before="0" w:after="283"/>
              <w:ind w:left="0" w:right="0" w:hanging="0"/>
              <w:jc w:val="center"/>
              <w:rPr>
                <w:smallCaps/>
                <w:sz w:val="40"/>
                <w:sz w:val="40"/>
                <w:rFonts w:ascii="Century Gothic;sans-serif" w:hAnsi="Century Gothic;sans-serif"/>
                <w:color w:val="FFFFFF"/>
              </w:rPr>
            </w:pPr>
            <w:r>
              <w:rPr>
                <w:rFonts w:ascii="Century Gothic;sans-serif" w:hAnsi="Century Gothic;sans-serif"/>
                <w:smallCaps/>
                <w:color w:val="FFFFFF"/>
                <w:sz w:val="40"/>
              </w:rPr>
              <w:t>Questões Processuais</w:t>
            </w:r>
            <w:r/>
          </w:p>
        </w:tc>
      </w:tr>
      <w:tr>
        <w:trPr/>
        <w:tc>
          <w:tcPr>
            <w:tcW w:w="6917" w:type="dxa"/>
            <w:gridSpan w:val="25"/>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81" w:type="dxa"/>
            <w:gridSpan w:val="2"/>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5812" w:type="dxa"/>
            <w:gridSpan w:val="19"/>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5C0B"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r>
      <w:tr>
        <w:trPr/>
        <w:tc>
          <w:tcPr>
            <w:tcW w:w="1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ind w:left="0" w:right="0" w:hanging="0"/>
              <w:rPr>
                <w:sz w:val="4"/>
                <w:sz w:val="4"/>
                <w:szCs w:val="4"/>
                <w:rFonts w:ascii="Liberation Serif" w:hAnsi="Liberation Serif" w:eastAsia="SimSun" w:cs="Mangal"/>
                <w:color w:val="00000A"/>
                <w:lang w:val="pt-BR" w:eastAsia="zh-CN" w:bidi="hi-IN"/>
              </w:rPr>
            </w:pPr>
            <w:r>
              <w:rPr>
                <w:sz w:val="4"/>
                <w:szCs w:val="4"/>
              </w:rPr>
            </w:r>
            <w:r/>
          </w:p>
        </w:tc>
        <w:tc>
          <w:tcPr>
            <w:tcW w:w="6797" w:type="dxa"/>
            <w:gridSpan w:val="2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5C0B" w:val="clear"/>
            <w:tcMar>
              <w:left w:w="98" w:type="dxa"/>
            </w:tcMar>
          </w:tcPr>
          <w:p>
            <w:pPr>
              <w:pStyle w:val="Contedodatabela"/>
              <w:spacing w:before="0" w:after="0"/>
              <w:jc w:val="right"/>
              <w:rPr>
                <w:sz w:val="20"/>
                <w:b/>
                <w:sz w:val="20"/>
                <w:b/>
                <w:rFonts w:ascii="Century Gothic;sans-serif" w:hAnsi="Century Gothic;sans-serif"/>
                <w:color w:val="FFFFFF"/>
              </w:rPr>
            </w:pPr>
            <w:r>
              <w:rPr>
                <w:rFonts w:ascii="Century Gothic;sans-serif" w:hAnsi="Century Gothic;sans-serif"/>
                <w:b/>
                <w:color w:val="FFFFFF"/>
                <w:sz w:val="20"/>
              </w:rPr>
              <w:t>Habeas Corpus nº 2010547-46.2015.8.26.0000. Rel. Lidia Conceição. J. 13.04.2015</w:t>
            </w:r>
            <w:r/>
          </w:p>
        </w:tc>
        <w:tc>
          <w:tcPr>
            <w:tcW w:w="81" w:type="dxa"/>
            <w:gridSpan w:val="2"/>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5812" w:type="dxa"/>
            <w:gridSpan w:val="19"/>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5C0B"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r>
      <w:tr>
        <w:trPr/>
        <w:tc>
          <w:tcPr>
            <w:tcW w:w="1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6797" w:type="dxa"/>
            <w:gridSpan w:val="2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81"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5812" w:type="dxa"/>
            <w:gridSpan w:val="19"/>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r>
      <w:tr>
        <w:trPr/>
        <w:tc>
          <w:tcPr>
            <w:tcW w:w="2362" w:type="dxa"/>
            <w:gridSpan w:val="3"/>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6600" w:val="clear"/>
            <w:tcMar>
              <w:left w:w="98" w:type="dxa"/>
            </w:tcMar>
            <w:vAlign w:val="center"/>
          </w:tcPr>
          <w:p>
            <w:pPr>
              <w:pStyle w:val="Contedodatabela"/>
              <w:spacing w:before="0" w:after="0"/>
              <w:ind w:left="113" w:right="113" w:hanging="0"/>
              <w:jc w:val="center"/>
              <w:rPr>
                <w:smallCaps/>
                <w:sz w:val="40"/>
                <w:b/>
                <w:sz w:val="40"/>
                <w:b/>
                <w:rFonts w:ascii="Century Gothic;sans-serif" w:hAnsi="Century Gothic;sans-serif"/>
                <w:color w:val="FFFFFF"/>
              </w:rPr>
            </w:pPr>
            <w:r>
              <w:rPr>
                <w:rFonts w:ascii="Century Gothic;sans-serif" w:hAnsi="Century Gothic;sans-serif"/>
                <w:b/>
                <w:smallCaps/>
                <w:color w:val="FFFFFF"/>
                <w:sz w:val="40"/>
              </w:rPr>
              <w:t>Outros</w:t>
            </w:r>
            <w:r/>
          </w:p>
        </w:tc>
        <w:tc>
          <w:tcPr>
            <w:tcW w:w="167" w:type="dxa"/>
            <w:gridSpan w:val="2"/>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10281" w:type="dxa"/>
            <w:gridSpan w:val="41"/>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99" w:val="clear"/>
            <w:tcMar>
              <w:left w:w="98" w:type="dxa"/>
            </w:tcMar>
          </w:tcPr>
          <w:p>
            <w:pPr>
              <w:pStyle w:val="Contedodatabela"/>
              <w:spacing w:lineRule="auto" w:line="360" w:before="0" w:after="0"/>
              <w:jc w:val="both"/>
            </w:pPr>
            <w:r>
              <w:rPr>
                <w:rFonts w:ascii="Century Gothic;sans-serif" w:hAnsi="Century Gothic;sans-serif"/>
                <w:sz w:val="22"/>
              </w:rPr>
              <w:t xml:space="preserve">Apuração de irregularidades em entidade de atendimento. Juiz que determinou o afastamento provisório da presidente da FUNDAC e nomeou substituta. </w:t>
            </w:r>
            <w:r>
              <w:rPr>
                <w:rFonts w:ascii="Century Gothic;sans-serif" w:hAnsi="Century Gothic;sans-serif"/>
                <w:b/>
                <w:sz w:val="22"/>
              </w:rPr>
              <w:t>Interposição de recurso pela prefeitura municipal, com o intuito de exercer a prerrogativa de indicar o substituto para a presidência da FUNDAC.</w:t>
            </w:r>
            <w:r>
              <w:rPr>
                <w:rFonts w:ascii="Century Gothic;sans-serif" w:hAnsi="Century Gothic;sans-serif"/>
                <w:sz w:val="22"/>
              </w:rPr>
              <w:t xml:space="preserve"> Celebração de convênio com a entidade não governamental para prestação de serviço de acolhimento institucional de crianças e adolescentes. Irregularidades na execução do serviço. </w:t>
            </w:r>
            <w:r>
              <w:rPr>
                <w:rFonts w:ascii="Century Gothic;sans-serif" w:hAnsi="Century Gothic;sans-serif"/>
                <w:b/>
                <w:sz w:val="22"/>
              </w:rPr>
              <w:t>Denúncias de maus tratos para com as crianças</w:t>
            </w:r>
            <w:r>
              <w:rPr>
                <w:rFonts w:ascii="Century Gothic;sans-serif" w:hAnsi="Century Gothic;sans-serif"/>
                <w:sz w:val="22"/>
              </w:rPr>
              <w:t xml:space="preserve">, falta de alimentos e brinquedos, agressões físicas, assédios, separação de irmãos, abandono, entre outras ofensas. </w:t>
            </w:r>
            <w:r>
              <w:rPr>
                <w:rFonts w:ascii="Century Gothic;sans-serif" w:hAnsi="Century Gothic;sans-serif"/>
                <w:b/>
                <w:sz w:val="22"/>
              </w:rPr>
              <w:t>Presidente que optou por renovar o convênio com a entidade</w:t>
            </w:r>
            <w:r>
              <w:rPr>
                <w:rFonts w:ascii="Century Gothic;sans-serif" w:hAnsi="Century Gothic;sans-serif"/>
                <w:sz w:val="22"/>
              </w:rPr>
              <w:t xml:space="preserve">. </w:t>
            </w:r>
            <w:r>
              <w:rPr>
                <w:rFonts w:ascii="Century Gothic;sans-serif" w:hAnsi="Century Gothic;sans-serif"/>
                <w:b/>
                <w:sz w:val="22"/>
              </w:rPr>
              <w:t xml:space="preserve">Conivência e omissão em relação às irregularidades existentes no serviço de acolhimento institucional. </w:t>
            </w:r>
            <w:r>
              <w:rPr>
                <w:rFonts w:ascii="Century Gothic;sans-serif" w:hAnsi="Century Gothic;sans-serif"/>
                <w:sz w:val="22"/>
              </w:rPr>
              <w:t xml:space="preserve">Afastamento provisório da presidente da entidade de atendimento, com fulcro no artigo 191, parágrafo único, do ECA. Manutenção da nomeação realizada pela autoridade judiciária. </w:t>
            </w:r>
            <w:r>
              <w:rPr>
                <w:rFonts w:ascii="Century Gothic;sans-serif" w:hAnsi="Century Gothic;sans-serif"/>
                <w:b/>
                <w:sz w:val="22"/>
              </w:rPr>
              <w:t>Administração municipal que se mostrou ineficiente para a solução das irregularidades</w:t>
            </w:r>
            <w:r>
              <w:rPr>
                <w:rFonts w:ascii="Century Gothic;sans-serif" w:hAnsi="Century Gothic;sans-serif"/>
                <w:sz w:val="22"/>
              </w:rPr>
              <w:t>. Observância do princípio da proteção integral e do dever do judiciário de fiscalizar as entidades governamentais e não governamentais com vistas à preservação dos direitos de crianças e adolescentes. Agravo de instrumento não provido.</w:t>
            </w:r>
            <w:r/>
          </w:p>
        </w:tc>
      </w:tr>
      <w:tr>
        <w:trPr/>
        <w:tc>
          <w:tcPr>
            <w:tcW w:w="2362" w:type="dxa"/>
            <w:gridSpan w:val="3"/>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6600"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167" w:type="dxa"/>
            <w:gridSpan w:val="2"/>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10281" w:type="dxa"/>
            <w:gridSpan w:val="41"/>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r>
      <w:tr>
        <w:trPr/>
        <w:tc>
          <w:tcPr>
            <w:tcW w:w="2362" w:type="dxa"/>
            <w:gridSpan w:val="3"/>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6600"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167" w:type="dxa"/>
            <w:gridSpan w:val="2"/>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10221" w:type="dxa"/>
            <w:gridSpan w:val="39"/>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5C0B" w:val="clear"/>
            <w:tcMar>
              <w:left w:w="98" w:type="dxa"/>
            </w:tcMar>
          </w:tcPr>
          <w:p>
            <w:pPr>
              <w:pStyle w:val="Contedodatabela"/>
              <w:spacing w:before="0" w:after="0"/>
              <w:rPr>
                <w:sz w:val="20"/>
                <w:b/>
                <w:sz w:val="20"/>
                <w:b/>
                <w:rFonts w:ascii="Century Gothic;sans-serif" w:hAnsi="Century Gothic;sans-serif"/>
                <w:color w:val="FFFFFF"/>
              </w:rPr>
            </w:pPr>
            <w:r>
              <w:rPr>
                <w:rFonts w:ascii="Century Gothic;sans-serif" w:hAnsi="Century Gothic;sans-serif"/>
                <w:b/>
                <w:color w:val="FFFFFF"/>
                <w:sz w:val="20"/>
              </w:rPr>
              <w:t>Agravo de Instrumento nº 2026141-37.2014.8.26.0000. Rel. Carlos Dias Motta. J. 30.03.2015</w:t>
            </w:r>
            <w:r/>
          </w:p>
        </w:tc>
        <w:tc>
          <w:tcPr>
            <w:tcW w:w="6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ind w:left="0" w:right="0" w:hanging="0"/>
              <w:rPr>
                <w:sz w:val="4"/>
                <w:sz w:val="4"/>
                <w:szCs w:val="4"/>
                <w:rFonts w:ascii="Liberation Serif" w:hAnsi="Liberation Serif" w:eastAsia="SimSun" w:cs="Mangal"/>
                <w:color w:val="00000A"/>
                <w:lang w:val="pt-BR" w:eastAsia="zh-CN" w:bidi="hi-IN"/>
              </w:rPr>
            </w:pPr>
            <w:r>
              <w:rPr>
                <w:sz w:val="4"/>
                <w:szCs w:val="4"/>
              </w:rPr>
            </w:r>
            <w:r/>
          </w:p>
        </w:tc>
      </w:tr>
      <w:tr>
        <w:trPr/>
        <w:tc>
          <w:tcPr>
            <w:tcW w:w="8317" w:type="dxa"/>
            <w:gridSpan w:val="40"/>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99" w:val="clear"/>
            <w:tcMar>
              <w:left w:w="98" w:type="dxa"/>
            </w:tcMar>
          </w:tcPr>
          <w:p>
            <w:pPr>
              <w:pStyle w:val="Contedodatabela"/>
              <w:spacing w:lineRule="auto" w:line="360" w:before="0" w:after="0"/>
              <w:jc w:val="both"/>
            </w:pPr>
            <w:r>
              <w:rPr>
                <w:rFonts w:ascii="Century Gothic;sans-serif" w:hAnsi="Century Gothic;sans-serif"/>
                <w:sz w:val="22"/>
              </w:rPr>
              <w:t xml:space="preserve">Ação de improbidade administrativa - </w:t>
            </w:r>
            <w:r>
              <w:rPr>
                <w:rFonts w:ascii="Century Gothic;sans-serif" w:hAnsi="Century Gothic;sans-serif"/>
                <w:b/>
                <w:sz w:val="22"/>
              </w:rPr>
              <w:t xml:space="preserve">Agressão física, a menor, por monitor - Indeferida a tutela antecipada para a suspensão do agressor de suas atividades - </w:t>
            </w:r>
            <w:r>
              <w:rPr>
                <w:rFonts w:ascii="Century Gothic;sans-serif" w:hAnsi="Century Gothic;sans-serif"/>
                <w:sz w:val="22"/>
              </w:rPr>
              <w:t xml:space="preserve">Não caracterizado o fumus boni iuris para a concessão da medida antecipatória - </w:t>
            </w:r>
            <w:r>
              <w:rPr>
                <w:rFonts w:ascii="Century Gothic;sans-serif" w:hAnsi="Century Gothic;sans-serif"/>
                <w:b/>
                <w:sz w:val="22"/>
              </w:rPr>
              <w:t>Administração da Casa de Acolhimento que tomou conhecimento e não ignora a realidade subjacente ao litígio</w:t>
            </w:r>
            <w:r>
              <w:rPr>
                <w:rFonts w:ascii="Century Gothic;sans-serif" w:hAnsi="Century Gothic;sans-serif"/>
                <w:sz w:val="22"/>
              </w:rPr>
              <w:t xml:space="preserve"> - Decisão agravada mantida - Recurso não provido.</w:t>
            </w:r>
            <w:r/>
          </w:p>
        </w:tc>
        <w:tc>
          <w:tcPr>
            <w:tcW w:w="98"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4395" w:type="dxa"/>
            <w:gridSpan w:val="5"/>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5C0B" w:val="clear"/>
            <w:tcMar>
              <w:left w:w="98" w:type="dxa"/>
            </w:tcMar>
            <w:vAlign w:val="center"/>
          </w:tcPr>
          <w:p>
            <w:pPr>
              <w:pStyle w:val="Contedodatabela"/>
              <w:spacing w:before="0" w:after="283"/>
              <w:ind w:left="0" w:right="0" w:hanging="0"/>
              <w:jc w:val="center"/>
              <w:rPr>
                <w:smallCaps/>
                <w:sz w:val="40"/>
                <w:sz w:val="40"/>
                <w:rFonts w:ascii="Century Gothic;sans-serif" w:hAnsi="Century Gothic;sans-serif"/>
                <w:color w:val="FFFFFF"/>
              </w:rPr>
            </w:pPr>
            <w:r>
              <w:rPr>
                <w:rFonts w:ascii="Century Gothic;sans-serif" w:hAnsi="Century Gothic;sans-serif"/>
                <w:smallCaps/>
                <w:color w:val="FFFFFF"/>
                <w:sz w:val="40"/>
              </w:rPr>
              <w:t>Outros</w:t>
            </w:r>
            <w:r/>
          </w:p>
        </w:tc>
      </w:tr>
      <w:tr>
        <w:trPr/>
        <w:tc>
          <w:tcPr>
            <w:tcW w:w="8317" w:type="dxa"/>
            <w:gridSpan w:val="40"/>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98"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4395" w:type="dxa"/>
            <w:gridSpan w:val="5"/>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5C0B"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r>
      <w:tr>
        <w:trPr/>
        <w:tc>
          <w:tcPr>
            <w:tcW w:w="1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ind w:left="0" w:right="0" w:hanging="0"/>
              <w:rPr>
                <w:sz w:val="4"/>
                <w:sz w:val="4"/>
                <w:szCs w:val="4"/>
                <w:rFonts w:ascii="Liberation Serif" w:hAnsi="Liberation Serif" w:eastAsia="SimSun" w:cs="Mangal"/>
                <w:color w:val="00000A"/>
                <w:lang w:val="pt-BR" w:eastAsia="zh-CN" w:bidi="hi-IN"/>
              </w:rPr>
            </w:pPr>
            <w:r>
              <w:rPr>
                <w:sz w:val="4"/>
                <w:szCs w:val="4"/>
              </w:rPr>
            </w:r>
            <w:r/>
          </w:p>
        </w:tc>
        <w:tc>
          <w:tcPr>
            <w:tcW w:w="8197" w:type="dxa"/>
            <w:gridSpan w:val="39"/>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5C0B" w:val="clear"/>
            <w:tcMar>
              <w:left w:w="98" w:type="dxa"/>
            </w:tcMar>
          </w:tcPr>
          <w:p>
            <w:pPr>
              <w:pStyle w:val="Contedodatabela"/>
              <w:spacing w:before="0" w:after="0"/>
              <w:jc w:val="right"/>
              <w:rPr>
                <w:sz w:val="20"/>
                <w:b/>
                <w:sz w:val="20"/>
                <w:b/>
                <w:rFonts w:ascii="Century Gothic;sans-serif" w:hAnsi="Century Gothic;sans-serif"/>
                <w:color w:val="FFFFFF"/>
              </w:rPr>
            </w:pPr>
            <w:r>
              <w:rPr>
                <w:rFonts w:ascii="Century Gothic;sans-serif" w:hAnsi="Century Gothic;sans-serif"/>
                <w:b/>
                <w:color w:val="FFFFFF"/>
                <w:sz w:val="20"/>
              </w:rPr>
              <w:t>Agravo de Instrumento nº 2154430-85.2014.8.26.0000. Rel. Roberto Maia. J. 27.04.2015</w:t>
            </w:r>
            <w:r/>
          </w:p>
        </w:tc>
        <w:tc>
          <w:tcPr>
            <w:tcW w:w="98"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4395" w:type="dxa"/>
            <w:gridSpan w:val="5"/>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5C0B"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r>
      <w:tr>
        <w:trPr/>
        <w:tc>
          <w:tcPr>
            <w:tcW w:w="1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8197" w:type="dxa"/>
            <w:gridSpan w:val="39"/>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9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4395" w:type="dxa"/>
            <w:gridSpan w:val="5"/>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r>
      <w:tr>
        <w:trPr/>
        <w:tc>
          <w:tcPr>
            <w:tcW w:w="12810" w:type="dxa"/>
            <w:gridSpan w:val="4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262626" w:val="clear"/>
            <w:tcMar>
              <w:left w:w="98" w:type="dxa"/>
            </w:tcMar>
          </w:tcPr>
          <w:p>
            <w:pPr>
              <w:pStyle w:val="Contedodatabela"/>
              <w:spacing w:before="0" w:after="0"/>
              <w:jc w:val="center"/>
              <w:rPr>
                <w:b/>
                <w:b/>
                <w:rFonts w:ascii="Century Gothic;sans-serif" w:hAnsi="Century Gothic;sans-serif"/>
                <w:color w:val="FFFFFF"/>
              </w:rPr>
            </w:pPr>
            <w:r>
              <w:rPr>
                <w:rFonts w:ascii="Century Gothic;sans-serif" w:hAnsi="Century Gothic;sans-serif"/>
                <w:b/>
                <w:color w:val="FFFFFF"/>
              </w:rPr>
              <w:t>DAIJ 2.4.1 – Seção de Pesquisa Jurídica e de Jurisprudência</w:t>
            </w:r>
            <w:r/>
          </w:p>
        </w:tc>
      </w:tr>
      <w:tr>
        <w:trPr/>
        <w:tc>
          <w:tcPr>
            <w:tcW w:w="12810" w:type="dxa"/>
            <w:gridSpan w:val="4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404040" w:val="clear"/>
            <w:tcMar>
              <w:left w:w="98" w:type="dxa"/>
            </w:tcMar>
          </w:tcPr>
          <w:p>
            <w:pPr>
              <w:pStyle w:val="Contedodatabela"/>
              <w:spacing w:before="0" w:after="0"/>
              <w:jc w:val="center"/>
              <w:rPr>
                <w:sz w:val="16"/>
                <w:sz w:val="16"/>
                <w:rFonts w:ascii="Century Gothic;sans-serif" w:hAnsi="Century Gothic;sans-serif"/>
                <w:color w:val="FFFFFF"/>
              </w:rPr>
            </w:pPr>
            <w:r>
              <w:rPr>
                <w:rFonts w:ascii="Century Gothic;sans-serif" w:hAnsi="Century Gothic;sans-serif"/>
                <w:color w:val="FFFFFF"/>
                <w:sz w:val="16"/>
              </w:rPr>
              <w:t>Fórum João Mendes Jr., s/n - 17º andar - sala 1714</w:t>
            </w:r>
            <w:r/>
          </w:p>
          <w:p>
            <w:pPr>
              <w:pStyle w:val="Contedodatabela"/>
              <w:spacing w:before="0" w:after="0"/>
              <w:jc w:val="center"/>
              <w:rPr>
                <w:sz w:val="16"/>
                <w:sz w:val="16"/>
                <w:rFonts w:ascii="Century Gothic;sans-serif" w:hAnsi="Century Gothic;sans-serif"/>
                <w:color w:val="FFFFFF"/>
              </w:rPr>
            </w:pPr>
            <w:r>
              <w:rPr>
                <w:rFonts w:ascii="Century Gothic;sans-serif" w:hAnsi="Century Gothic;sans-serif"/>
                <w:color w:val="FFFFFF"/>
                <w:sz w:val="16"/>
              </w:rPr>
              <w:t>01501-900 - Centro - São Paulo</w:t>
            </w:r>
            <w:r/>
          </w:p>
          <w:p>
            <w:pPr>
              <w:pStyle w:val="Contedodatabela"/>
              <w:spacing w:before="0" w:after="0"/>
              <w:jc w:val="center"/>
            </w:pPr>
            <w:hyperlink r:id="rId2">
              <w:r>
                <w:rPr>
                  <w:rStyle w:val="LinkdaInternet"/>
                  <w:rFonts w:ascii="Century Gothic;sans-serif" w:hAnsi="Century Gothic;sans-serif"/>
                  <w:color w:val="0000FF"/>
                  <w:sz w:val="16"/>
                  <w:lang w:val="pt-BR"/>
                </w:rPr>
                <w:t>daij2.4@tjsp.jus.br</w:t>
              </w:r>
            </w:hyperlink>
            <w:r>
              <w:rPr>
                <w:color w:val="FFFFFF"/>
              </w:rPr>
              <w:t xml:space="preserve"> </w:t>
            </w:r>
            <w:r>
              <w:rPr>
                <w:smallCaps/>
                <w:color w:val="FFFFFF"/>
              </w:rPr>
              <w:t>│</w:t>
            </w:r>
            <w:r>
              <w:rPr>
                <w:color w:val="FFFFFF"/>
              </w:rPr>
              <w:t xml:space="preserve"> </w:t>
            </w:r>
            <w:r>
              <w:rPr>
                <w:rFonts w:ascii="Century Gothic;sans-serif" w:hAnsi="Century Gothic;sans-serif"/>
                <w:color w:val="FFFFFF"/>
                <w:sz w:val="16"/>
              </w:rPr>
              <w:t>Tel.: +11 2171-6419</w:t>
            </w:r>
            <w:r/>
          </w:p>
        </w:tc>
      </w:tr>
      <w:tr>
        <w:trPr/>
        <w:tc>
          <w:tcPr>
            <w:tcW w:w="12810" w:type="dxa"/>
            <w:gridSpan w:val="4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262626" w:val="clear"/>
            <w:tcMar>
              <w:left w:w="88" w:type="dxa"/>
            </w:tcMar>
          </w:tcPr>
          <w:p>
            <w:pPr>
              <w:pStyle w:val="Contedodatabela"/>
              <w:spacing w:before="0" w:after="0"/>
              <w:jc w:val="center"/>
              <w:rPr>
                <w:sz w:val="16"/>
                <w:sz w:val="16"/>
                <w:rFonts w:ascii="Century Gothic;sans-serif" w:hAnsi="Century Gothic;sans-serif"/>
                <w:color w:val="FFFFFF"/>
              </w:rPr>
            </w:pPr>
            <w:r>
              <w:rPr>
                <w:rFonts w:ascii="Century Gothic;sans-serif" w:hAnsi="Century Gothic;sans-serif"/>
                <w:color w:val="FFFFFF"/>
                <w:sz w:val="16"/>
              </w:rPr>
              <w:t>Este informativo, autorizado pelos Ofícios n.º 2/2014 e n.º 7/2014 – GATJ2, não substitui publicação oficial.</w:t>
            </w:r>
            <w:r/>
          </w:p>
        </w:tc>
      </w:tr>
    </w:tbl>
    <w:p>
      <w:pPr>
        <w:pStyle w:val="Corpodotexto"/>
        <w:spacing w:lineRule="auto" w:line="288" w:before="0" w:after="140"/>
        <w:rPr>
          <w:sz w:val="24"/>
          <w:sz w:val="24"/>
          <w:szCs w:val="24"/>
          <w:rFonts w:ascii="Liberation Serif" w:hAnsi="Liberation Serif" w:eastAsia="SimSun" w:cs="Mangal"/>
          <w:color w:val="00000A"/>
          <w:lang w:val="pt-BR" w:eastAsia="zh-CN" w:bidi="hi-IN"/>
        </w:rPr>
      </w:pPr>
      <w:r>
        <w:rPr/>
        <w:br/>
      </w:r>
      <w:r/>
    </w:p>
    <w:sectPr>
      <w:type w:val="nextPage"/>
      <w:pgSz w:orient="landscape" w:w="16838" w:h="11906"/>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swiss"/>
    <w:pitch w:val="variable"/>
  </w:font>
  <w:font w:name="Century Gothic">
    <w:altName w:val="sans-serif"/>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pt-BR"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Mangal"/>
      <w:color w:val="00000A"/>
      <w:sz w:val="24"/>
      <w:szCs w:val="24"/>
      <w:lang w:val="pt-BR" w:eastAsia="zh-CN" w:bidi="hi-IN"/>
    </w:rPr>
  </w:style>
  <w:style w:type="paragraph" w:styleId="Ttulo4">
    <w:name w:val="Título 4"/>
    <w:basedOn w:val="Ttulo"/>
    <w:pPr>
      <w:spacing w:before="120" w:after="120"/>
      <w:outlineLvl w:val="3"/>
    </w:pPr>
    <w:rPr>
      <w:rFonts w:ascii="Liberation Serif" w:hAnsi="Liberation Serif" w:eastAsia="SimSun" w:cs="Mangal"/>
      <w:b/>
      <w:bCs/>
      <w:color w:val="808080"/>
      <w:sz w:val="24"/>
      <w:szCs w:val="24"/>
    </w:rPr>
  </w:style>
  <w:style w:type="character" w:styleId="LinkdaInternet">
    <w:name w:val="Link da Internet"/>
    <w:rPr>
      <w:color w:val="000080"/>
      <w:u w:val="single"/>
      <w:lang w:val="zxx" w:eastAsia="zxx" w:bidi="zxx"/>
    </w:rPr>
  </w:style>
  <w:style w:type="paragraph" w:styleId="Ttulo">
    <w:name w:val="Título"/>
    <w:basedOn w:val="Normal"/>
    <w:next w:val="Corpodotexto"/>
    <w:pPr>
      <w:keepNext/>
      <w:spacing w:before="240" w:after="120"/>
    </w:pPr>
    <w:rPr>
      <w:rFonts w:ascii="Liberation Sans" w:hAnsi="Liberation Sans" w:eastAsia="Microsoft YaHei" w:cs="Mangal"/>
      <w:sz w:val="28"/>
      <w:szCs w:val="28"/>
    </w:rPr>
  </w:style>
  <w:style w:type="paragraph" w:styleId="Corpodotexto">
    <w:name w:val="Corpo do texto"/>
    <w:basedOn w:val="Normal"/>
    <w:pPr>
      <w:spacing w:lineRule="auto" w:line="288" w:before="0" w:after="140"/>
    </w:pPr>
    <w:rPr/>
  </w:style>
  <w:style w:type="paragraph" w:styleId="Lista">
    <w:name w:val="Lista"/>
    <w:basedOn w:val="Corpodotexto"/>
    <w:pPr/>
    <w:rPr>
      <w:rFonts w:cs="Mangal"/>
    </w:rPr>
  </w:style>
  <w:style w:type="paragraph" w:styleId="Legenda">
    <w:name w:val="Legenda"/>
    <w:basedOn w:val="Normal"/>
    <w:pPr>
      <w:suppressLineNumbers/>
      <w:spacing w:before="120" w:after="120"/>
    </w:pPr>
    <w:rPr>
      <w:rFonts w:cs="Mangal"/>
      <w:i/>
      <w:iCs/>
      <w:sz w:val="24"/>
      <w:szCs w:val="24"/>
    </w:rPr>
  </w:style>
  <w:style w:type="paragraph" w:styleId="Ndice">
    <w:name w:val="Índice"/>
    <w:basedOn w:val="Normal"/>
    <w:pPr>
      <w:suppressLineNumbers/>
    </w:pPr>
    <w:rPr>
      <w:rFonts w:cs="Mangal"/>
    </w:rPr>
  </w:style>
  <w:style w:type="paragraph" w:styleId="Contedodatabela">
    <w:name w:val="Conteúdo da tabela"/>
    <w:basedOn w:val="Normal"/>
    <w:pPr>
      <w:suppressLineNumbers/>
    </w:pPr>
    <w:rPr/>
  </w:style>
  <w:style w:type="paragraph" w:styleId="Ttulodetabela">
    <w:name w:val="Título de tabela"/>
    <w:basedOn w:val="Contedodatabela"/>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aij2.4@tjsp.jus.br"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625</TotalTime>
  <Application>LibreOffice/4.3.4.1$Windows_x86 LibreOffice_project/bc356b2f991740509f321d70e4512a6a54c5f243</Application>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2015-05-29T17:54:19Z</dcterms:created>
  <dc:language>pt-BR</dc:language>
  <dcterms:modified xsi:type="dcterms:W3CDTF">2015-05-29T18:05:34Z</dcterms:modified>
  <cp:revision>3</cp:revision>
</cp:coreProperties>
</file>