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60" w:rsidRDefault="00BC7E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ROL DE PEÇAS </w:t>
      </w:r>
      <w:r w:rsidR="00287BED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>ECESSÁRI</w:t>
      </w:r>
      <w:r w:rsidR="00AB24A0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>S À FORMAÇÃO DE PRECATÓRIO</w:t>
      </w:r>
    </w:p>
    <w:tbl>
      <w:tblPr>
        <w:tblStyle w:val="Tabelacomgrade"/>
        <w:tblW w:w="5000" w:type="pct"/>
        <w:tblCellMar>
          <w:left w:w="13" w:type="dxa"/>
        </w:tblCellMar>
        <w:tblLook w:val="04A0" w:firstRow="1" w:lastRow="0" w:firstColumn="1" w:lastColumn="0" w:noHBand="0" w:noVBand="1"/>
      </w:tblPr>
      <w:tblGrid>
        <w:gridCol w:w="601"/>
        <w:gridCol w:w="422"/>
        <w:gridCol w:w="8736"/>
      </w:tblGrid>
      <w:tr w:rsidR="005D0360" w:rsidTr="0076007B">
        <w:trPr>
          <w:trHeight w:val="283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 xml:space="preserve">Protocolo: </w:t>
            </w:r>
          </w:p>
        </w:tc>
      </w:tr>
      <w:tr w:rsidR="005D0360" w:rsidTr="0076007B">
        <w:trPr>
          <w:trHeight w:val="283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tabs>
                <w:tab w:val="left" w:pos="700"/>
              </w:tabs>
              <w:spacing w:after="0"/>
              <w:jc w:val="both"/>
            </w:pPr>
            <w:bookmarkStart w:id="0" w:name="__DdeLink__238_1649879653"/>
            <w:bookmarkStart w:id="1" w:name="__DdeLink__823_1304628852"/>
            <w:bookmarkStart w:id="2" w:name="__DdeLink__833_1304628852"/>
            <w:bookmarkStart w:id="3" w:name="__DdeLink__841_1304628852"/>
            <w:bookmarkStart w:id="4" w:name="__DdeLink__848_1304628852"/>
            <w:bookmarkStart w:id="5" w:name="__DdeLink__854_1304628852"/>
            <w:bookmarkEnd w:id="0"/>
            <w:bookmarkEnd w:id="1"/>
            <w:bookmarkEnd w:id="2"/>
            <w:bookmarkEnd w:id="3"/>
            <w:bookmarkEnd w:id="4"/>
            <w:bookmarkEnd w:id="5"/>
            <w:r>
              <w:t xml:space="preserve">Credor: </w:t>
            </w:r>
          </w:p>
        </w:tc>
      </w:tr>
      <w:tr w:rsidR="005D0360" w:rsidTr="0076007B">
        <w:trPr>
          <w:trHeight w:val="283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 xml:space="preserve">Devedor: </w:t>
            </w:r>
          </w:p>
        </w:tc>
      </w:tr>
      <w:tr w:rsidR="005D0360" w:rsidTr="0076007B">
        <w:trPr>
          <w:trHeight w:val="283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 xml:space="preserve">Processo: </w:t>
            </w:r>
          </w:p>
        </w:tc>
      </w:tr>
      <w:tr w:rsidR="005D0360" w:rsidTr="0076007B">
        <w:trPr>
          <w:trHeight w:val="283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296890" w:rsidRPr="00891D63" w:rsidRDefault="00E2648C" w:rsidP="002F0BF0">
            <w:pPr>
              <w:spacing w:after="0"/>
              <w:jc w:val="both"/>
              <w:rPr>
                <w:bCs/>
              </w:rPr>
            </w:pPr>
            <w:r>
              <w:t>Origem:</w:t>
            </w:r>
            <w:r w:rsidR="00BC15BC" w:rsidRPr="00891D63">
              <w:rPr>
                <w:bCs/>
              </w:rPr>
              <w:t xml:space="preserve"> </w:t>
            </w:r>
          </w:p>
        </w:tc>
      </w:tr>
      <w:tr w:rsidR="00A01A92" w:rsidTr="00560BC6">
        <w:trPr>
          <w:trHeight w:val="397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A01A92" w:rsidRPr="00A01A92" w:rsidRDefault="00A01A92" w:rsidP="002F0BF0">
            <w:pPr>
              <w:spacing w:after="0"/>
              <w:jc w:val="center"/>
              <w:rPr>
                <w:b/>
              </w:rPr>
            </w:pPr>
            <w:r w:rsidRPr="00A01A92">
              <w:rPr>
                <w:b/>
                <w:sz w:val="24"/>
              </w:rPr>
              <w:t>FASE DE CONHECIMENTO</w:t>
            </w:r>
          </w:p>
        </w:tc>
      </w:tr>
      <w:tr w:rsidR="005D0360" w:rsidTr="00875E16">
        <w:trPr>
          <w:trHeight w:val="284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01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667B0B" w:rsidRDefault="00667B0B" w:rsidP="002F0BF0">
            <w:pPr>
              <w:spacing w:after="0"/>
              <w:jc w:val="both"/>
            </w:pPr>
            <w:r>
              <w:t>Petição Inicial</w:t>
            </w:r>
            <w:r w:rsidR="009E671B">
              <w:t>:</w:t>
            </w:r>
            <w:r>
              <w:t xml:space="preserve"> cópia na íntegra, bem como documentos</w:t>
            </w:r>
            <w:r w:rsidR="00172DD9">
              <w:t xml:space="preserve"> que a </w:t>
            </w:r>
            <w:r w:rsidR="009E671B">
              <w:t>instruem</w:t>
            </w:r>
            <w:r w:rsidR="00994120">
              <w:t>, principalmente cálculos ou documentos que implicam valores tipo Certidão de Dívida Ativa (</w:t>
            </w:r>
            <w:proofErr w:type="spellStart"/>
            <w:r w:rsidR="00994120">
              <w:t>CDA</w:t>
            </w:r>
            <w:proofErr w:type="spellEnd"/>
            <w:r w:rsidR="00994120">
              <w:t>)</w:t>
            </w:r>
            <w:r w:rsidR="00172DD9">
              <w:t>.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02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>P</w:t>
            </w:r>
            <w:r w:rsidR="00172DD9">
              <w:t>rocurações e substabelecimentos</w:t>
            </w:r>
            <w:r w:rsidR="00292EBF">
              <w:t>:</w:t>
            </w:r>
            <w:r w:rsidR="00172DD9">
              <w:t xml:space="preserve"> todas as procurações e substabelecimentos existentes no processo original. </w:t>
            </w:r>
            <w:r w:rsidR="00292EBF">
              <w:t>Nunca somente o substabelecimento.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03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292EBF" w:rsidP="002F0BF0">
            <w:pPr>
              <w:spacing w:after="0"/>
              <w:jc w:val="both"/>
            </w:pPr>
            <w:r>
              <w:t>C</w:t>
            </w:r>
            <w:r w:rsidR="00172DD9">
              <w:t>itação</w:t>
            </w:r>
            <w:r>
              <w:t>:</w:t>
            </w:r>
            <w:r w:rsidR="00172DD9">
              <w:t xml:space="preserve"> </w:t>
            </w:r>
            <w:r w:rsidR="001436B4">
              <w:t>cópias do mandado e de sua respectiva certidão ou da guia de remessa, em casos de carga programada.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04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  <w:rPr>
                <w:rFonts w:ascii="Berlin Sans FB Demi" w:eastAsia="Berlin Sans FB Demi" w:hAnsi="Berlin Sans FB Demi" w:cs="Berlin Sans FB Demi"/>
                <w:b/>
              </w:rPr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0362DD" w:rsidRDefault="00377CAD" w:rsidP="002F0BF0">
            <w:pPr>
              <w:spacing w:after="0"/>
              <w:jc w:val="both"/>
            </w:pPr>
            <w:r>
              <w:t xml:space="preserve">Sentença </w:t>
            </w:r>
            <w:r w:rsidR="004F4E46">
              <w:t>e respectivo trânsito em julgado (em caso de não haver recurso</w:t>
            </w:r>
            <w:r w:rsidR="00137832">
              <w:t xml:space="preserve"> ou remessa necessária</w:t>
            </w:r>
            <w:r>
              <w:t>)</w:t>
            </w:r>
            <w:r w:rsidR="005537DB">
              <w:t xml:space="preserve">. </w:t>
            </w:r>
            <w:r w:rsidR="00B57B1F">
              <w:t xml:space="preserve">Caso haja recursos para as </w:t>
            </w:r>
            <w:r w:rsidR="00137832">
              <w:t>instâncias superiores, cópia d</w:t>
            </w:r>
            <w:r w:rsidR="00B57B1F">
              <w:t>as decisões proferidas em cada uma delas</w:t>
            </w:r>
            <w:r w:rsidR="00AF266D">
              <w:t xml:space="preserve"> (</w:t>
            </w:r>
            <w:r w:rsidR="00137832">
              <w:t>preferencialmente com relatório e</w:t>
            </w:r>
            <w:r w:rsidR="005B47E0">
              <w:t xml:space="preserve"> voto</w:t>
            </w:r>
            <w:r w:rsidR="00137832">
              <w:t>s</w:t>
            </w:r>
            <w:r w:rsidR="00953C97">
              <w:t>)</w:t>
            </w:r>
            <w:r w:rsidR="0047566F">
              <w:t xml:space="preserve">, bem como da </w:t>
            </w:r>
            <w:r w:rsidR="00E2648C">
              <w:t>certidão de trânsito em julgado</w:t>
            </w:r>
            <w:r w:rsidR="0047566F">
              <w:t xml:space="preserve"> final</w:t>
            </w:r>
            <w:r w:rsidR="005B47E0">
              <w:t>.</w:t>
            </w:r>
          </w:p>
        </w:tc>
      </w:tr>
      <w:tr w:rsidR="00A01A92" w:rsidTr="00875E16">
        <w:trPr>
          <w:trHeight w:val="397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A01A92" w:rsidRPr="00A01A92" w:rsidRDefault="00A01A92" w:rsidP="00875E16">
            <w:pPr>
              <w:spacing w:after="0"/>
              <w:jc w:val="center"/>
              <w:rPr>
                <w:b/>
              </w:rPr>
            </w:pPr>
            <w:r w:rsidRPr="00A01A92">
              <w:rPr>
                <w:b/>
                <w:sz w:val="24"/>
              </w:rPr>
              <w:t>FASE DE EXECUÇÃO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05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>Petição de Execução/</w:t>
            </w:r>
            <w:r w:rsidR="009E671B">
              <w:t>C</w:t>
            </w:r>
            <w:r>
              <w:t>umprimento de sentença</w:t>
            </w:r>
            <w:r w:rsidR="009E671B">
              <w:t xml:space="preserve"> (</w:t>
            </w:r>
            <w:r>
              <w:t>o</w:t>
            </w:r>
            <w:r w:rsidR="00274A2C">
              <w:t xml:space="preserve">u </w:t>
            </w:r>
            <w:r w:rsidR="00274A2C" w:rsidRPr="005B47E0">
              <w:t>certidão de não apresentação</w:t>
            </w:r>
            <w:r w:rsidR="009E671B">
              <w:t>)</w:t>
            </w:r>
            <w:r w:rsidR="00BE7AB6">
              <w:t>:</w:t>
            </w:r>
            <w:r w:rsidR="00274A2C">
              <w:t xml:space="preserve"> </w:t>
            </w:r>
            <w:r w:rsidR="005B47E0">
              <w:t xml:space="preserve">cópia na íntegra das peças e dos </w:t>
            </w:r>
            <w:r w:rsidR="00BE7AB6">
              <w:t xml:space="preserve">cálculos que </w:t>
            </w:r>
            <w:r w:rsidR="00380CEE">
              <w:t xml:space="preserve">a </w:t>
            </w:r>
            <w:r w:rsidR="00BE7AB6">
              <w:t>instruem</w:t>
            </w:r>
            <w:r w:rsidR="004534C4">
              <w:t>.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06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  <w:bookmarkStart w:id="6" w:name="__DdeLink__265_1822722767"/>
            <w:bookmarkEnd w:id="6"/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>Citação para apresentação dos embargos à execução/intimação para i</w:t>
            </w:r>
            <w:r w:rsidR="0029076B">
              <w:t>mpugnação</w:t>
            </w:r>
            <w:r w:rsidR="006B4B76">
              <w:t>:</w:t>
            </w:r>
            <w:r w:rsidR="0029076B">
              <w:t xml:space="preserve"> cópias do mandado e de sua respectiva certidão ou da guia de remessa, em casos de carga programada. 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08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>Petição de Embargos/</w:t>
            </w:r>
            <w:r w:rsidR="006B4B76">
              <w:t>I</w:t>
            </w:r>
            <w:r>
              <w:t xml:space="preserve">mpugnação </w:t>
            </w:r>
            <w:r w:rsidR="006B4B76">
              <w:t>(</w:t>
            </w:r>
            <w:r w:rsidR="0029076B" w:rsidRPr="0029299D">
              <w:t>ou certidão de não apresentação</w:t>
            </w:r>
            <w:r w:rsidR="006B4B76">
              <w:t>):</w:t>
            </w:r>
            <w:r w:rsidR="0029076B">
              <w:t xml:space="preserve"> </w:t>
            </w:r>
            <w:r w:rsidR="0029299D">
              <w:t xml:space="preserve">cópia na íntegra das peças e dos </w:t>
            </w:r>
            <w:r w:rsidR="004D587C">
              <w:t>cálculos que a instruem</w:t>
            </w:r>
            <w:r w:rsidR="0029076B">
              <w:t>.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09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4D587C" w:rsidP="002F0BF0">
            <w:pPr>
              <w:spacing w:after="0"/>
              <w:jc w:val="both"/>
            </w:pPr>
            <w:r>
              <w:t>Sentença</w:t>
            </w:r>
            <w:r w:rsidR="00266409">
              <w:t>s,</w:t>
            </w:r>
            <w:r>
              <w:t xml:space="preserve"> </w:t>
            </w:r>
            <w:r w:rsidR="00E2648C">
              <w:t>Decis</w:t>
            </w:r>
            <w:r w:rsidR="00266409">
              <w:t>ões ou Despachos</w:t>
            </w:r>
            <w:r w:rsidR="00E2648C">
              <w:t xml:space="preserve"> </w:t>
            </w:r>
            <w:r w:rsidR="00266409">
              <w:t>da fase de execução</w:t>
            </w:r>
            <w:r w:rsidR="000375AE" w:rsidRPr="000375AE">
              <w:t xml:space="preserve">. Caso haja recursos para as instâncias superiores, cópia d as decisões proferidas em cada uma delas </w:t>
            </w:r>
            <w:r w:rsidR="00A73ECF">
              <w:t>(preferencialmente com relatório e votos)</w:t>
            </w:r>
            <w:r w:rsidR="000375AE" w:rsidRPr="000375AE">
              <w:t>, bem como da certidão de trânsito em julgado final.</w:t>
            </w:r>
            <w:r w:rsidR="000375AE">
              <w:t xml:space="preserve"> 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10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</w:pPr>
            <w:bookmarkStart w:id="7" w:name="__DdeLink__2856_535647222"/>
            <w:bookmarkEnd w:id="7"/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 xml:space="preserve">Memória discriminada </w:t>
            </w:r>
            <w:r w:rsidR="00832BDC">
              <w:t>e detalhada</w:t>
            </w:r>
            <w:r w:rsidR="00826045">
              <w:t xml:space="preserve"> </w:t>
            </w:r>
            <w:r w:rsidR="0023000D">
              <w:t xml:space="preserve">de todos os cálculos apresentados por ambas </w:t>
            </w:r>
            <w:proofErr w:type="gramStart"/>
            <w:r w:rsidR="0023000D">
              <w:t>as</w:t>
            </w:r>
            <w:proofErr w:type="gramEnd"/>
            <w:r w:rsidR="0023000D">
              <w:t xml:space="preserve"> parte</w:t>
            </w:r>
            <w:r w:rsidR="00A73ECF">
              <w:t>s</w:t>
            </w:r>
            <w:r w:rsidR="0023000D">
              <w:t xml:space="preserve"> e, </w:t>
            </w:r>
            <w:r w:rsidR="000E3F3C">
              <w:t>principalmente</w:t>
            </w:r>
            <w:r w:rsidR="0023000D">
              <w:t xml:space="preserve">, do </w:t>
            </w:r>
            <w:r w:rsidR="00D23868">
              <w:t>cálculo que embasou</w:t>
            </w:r>
            <w:r w:rsidR="0023000D">
              <w:t xml:space="preserve"> </w:t>
            </w:r>
            <w:r w:rsidR="00D31A5F">
              <w:t>a Requisição de Pagamento.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11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  <w:rPr>
                <w:rFonts w:ascii="Berlin Sans FB Demi" w:eastAsia="Berlin Sans FB Demi" w:hAnsi="Berlin Sans FB Demi" w:cs="Berlin Sans FB Demi"/>
                <w:b/>
              </w:rPr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both"/>
            </w:pPr>
            <w:r>
              <w:t>Despacho/De</w:t>
            </w:r>
            <w:r w:rsidR="00D31A5F">
              <w:t xml:space="preserve">cisão homologatória de cálculo e da respectiva </w:t>
            </w:r>
            <w:r w:rsidR="00D23868">
              <w:t>certidão de preclusão, se houver</w:t>
            </w:r>
            <w:r w:rsidR="00832BDC">
              <w:t>.</w:t>
            </w:r>
          </w:p>
        </w:tc>
      </w:tr>
      <w:tr w:rsidR="005D0360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E2648C" w:rsidP="002F0BF0">
            <w:pPr>
              <w:spacing w:after="0"/>
              <w:jc w:val="center"/>
            </w:pPr>
            <w:r>
              <w:t>12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5D0360" w:rsidRDefault="005D0360" w:rsidP="00875E16">
            <w:pPr>
              <w:spacing w:after="0"/>
              <w:jc w:val="center"/>
              <w:rPr>
                <w:rFonts w:ascii="Berlin Sans FB Demi" w:eastAsia="Berlin Sans FB Demi" w:hAnsi="Berlin Sans FB Demi" w:cs="Berlin Sans FB Demi"/>
                <w:b/>
              </w:rPr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5D0360" w:rsidRPr="002511EB" w:rsidRDefault="00E2648C" w:rsidP="00CA256E">
            <w:pPr>
              <w:spacing w:after="0"/>
              <w:jc w:val="both"/>
              <w:rPr>
                <w:rFonts w:ascii="Arial" w:hAnsi="Arial" w:cs="Arial"/>
              </w:rPr>
            </w:pPr>
            <w:r>
              <w:t xml:space="preserve">Certidão de inexistência de expedição anterior para </w:t>
            </w:r>
            <w:r w:rsidR="002511EB">
              <w:t xml:space="preserve">o mesmo fim, no mesmo processo. Sugestão para evitar o esquecimento de sua expedição, faça sua emissão </w:t>
            </w:r>
            <w:bookmarkStart w:id="8" w:name="_GoBack"/>
            <w:bookmarkEnd w:id="8"/>
            <w:r w:rsidR="002511EB">
              <w:t>junto com a requisição de pagamento</w:t>
            </w:r>
            <w:r w:rsidR="00BC7E78">
              <w:t>.</w:t>
            </w:r>
          </w:p>
        </w:tc>
      </w:tr>
      <w:tr w:rsidR="00D23868" w:rsidTr="00875E16">
        <w:trPr>
          <w:trHeight w:val="397"/>
        </w:trPr>
        <w:tc>
          <w:tcPr>
            <w:tcW w:w="5000" w:type="pct"/>
            <w:gridSpan w:val="3"/>
            <w:shd w:val="clear" w:color="auto" w:fill="auto"/>
            <w:tcMar>
              <w:left w:w="13" w:type="dxa"/>
            </w:tcMar>
            <w:vAlign w:val="center"/>
          </w:tcPr>
          <w:p w:rsidR="00D23868" w:rsidRPr="00A01A92" w:rsidRDefault="006552C2" w:rsidP="00875E16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PEÇAS ADICIONAIS</w:t>
            </w:r>
          </w:p>
        </w:tc>
      </w:tr>
      <w:tr w:rsidR="00D23868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6552C2" w:rsidP="002F0BF0">
            <w:pPr>
              <w:spacing w:after="0"/>
              <w:jc w:val="center"/>
            </w:pPr>
            <w:r>
              <w:t>13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D23868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6552C2" w:rsidP="002F0BF0">
            <w:pPr>
              <w:spacing w:after="0"/>
              <w:jc w:val="both"/>
            </w:pPr>
            <w:r>
              <w:t>Contrato de honorários</w:t>
            </w:r>
            <w:r w:rsidR="0006030C">
              <w:t>, caso haja solicitação de</w:t>
            </w:r>
            <w:r>
              <w:t xml:space="preserve"> desta</w:t>
            </w:r>
            <w:r w:rsidR="0006030C">
              <w:t>que</w:t>
            </w:r>
            <w:r>
              <w:t>.</w:t>
            </w:r>
          </w:p>
        </w:tc>
      </w:tr>
      <w:tr w:rsidR="00D23868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E228EA" w:rsidP="002F0BF0">
            <w:pPr>
              <w:spacing w:after="0"/>
              <w:jc w:val="center"/>
            </w:pPr>
            <w:r>
              <w:t>14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D23868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6552C2" w:rsidP="002F0BF0">
            <w:pPr>
              <w:spacing w:after="0"/>
              <w:jc w:val="both"/>
            </w:pPr>
            <w:r>
              <w:t xml:space="preserve">Laudo de avaliação inicial, </w:t>
            </w:r>
            <w:r w:rsidR="002B06D7">
              <w:t>conta judicial</w:t>
            </w:r>
            <w:r w:rsidR="004E32C6">
              <w:t xml:space="preserve"> do depósito da oferta inicial</w:t>
            </w:r>
            <w:r w:rsidR="002B06D7">
              <w:t>, imissão de posse, laudo pericial</w:t>
            </w:r>
            <w:r w:rsidR="00BF3938">
              <w:t xml:space="preserve">, </w:t>
            </w:r>
            <w:r w:rsidR="004E32C6">
              <w:t>alvarás de eventuais pagamentos</w:t>
            </w:r>
            <w:r w:rsidR="00E228EA">
              <w:t xml:space="preserve"> efetuados pelo juízo, </w:t>
            </w:r>
            <w:r w:rsidR="00E228EA" w:rsidRPr="000E3F3C">
              <w:rPr>
                <w:b/>
                <w:u w:val="single"/>
              </w:rPr>
              <w:t>no caso de DESAPROPRIAÇÃO</w:t>
            </w:r>
            <w:r w:rsidR="00E228EA">
              <w:t>.</w:t>
            </w:r>
          </w:p>
        </w:tc>
      </w:tr>
      <w:tr w:rsidR="00875E16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875E16" w:rsidRDefault="00875E16" w:rsidP="002F0BF0">
            <w:pPr>
              <w:spacing w:after="0"/>
              <w:jc w:val="center"/>
            </w:pPr>
            <w:r>
              <w:t>15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875E16" w:rsidRDefault="00875E16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875E16" w:rsidRDefault="00681EE8" w:rsidP="002F0BF0">
            <w:pPr>
              <w:spacing w:after="0"/>
              <w:jc w:val="both"/>
            </w:pPr>
            <w:r>
              <w:t>Documentos que comprovem idade</w:t>
            </w:r>
            <w:r w:rsidR="009D7EFE">
              <w:t xml:space="preserve"> (se maior de 60 anos)</w:t>
            </w:r>
            <w:r>
              <w:t xml:space="preserve">, </w:t>
            </w:r>
            <w:r w:rsidR="009D7EFE">
              <w:t>doença grave e/ou deficiência.</w:t>
            </w:r>
          </w:p>
        </w:tc>
      </w:tr>
      <w:tr w:rsidR="00D23868" w:rsidTr="00875E16">
        <w:trPr>
          <w:trHeight w:val="283"/>
        </w:trPr>
        <w:tc>
          <w:tcPr>
            <w:tcW w:w="308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6B6911" w:rsidP="00875E16">
            <w:pPr>
              <w:spacing w:after="0"/>
              <w:jc w:val="center"/>
            </w:pPr>
            <w:r>
              <w:t>1</w:t>
            </w:r>
            <w:r w:rsidR="00875E16">
              <w:t>6</w:t>
            </w:r>
          </w:p>
        </w:tc>
        <w:tc>
          <w:tcPr>
            <w:tcW w:w="216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D23868" w:rsidP="00875E16">
            <w:pPr>
              <w:spacing w:after="0"/>
              <w:jc w:val="center"/>
            </w:pPr>
          </w:p>
        </w:tc>
        <w:tc>
          <w:tcPr>
            <w:tcW w:w="4476" w:type="pct"/>
            <w:shd w:val="clear" w:color="auto" w:fill="auto"/>
            <w:tcMar>
              <w:left w:w="13" w:type="dxa"/>
            </w:tcMar>
            <w:vAlign w:val="center"/>
          </w:tcPr>
          <w:p w:rsidR="00D23868" w:rsidRDefault="006B6911" w:rsidP="002F0BF0">
            <w:pPr>
              <w:spacing w:after="0"/>
              <w:jc w:val="both"/>
            </w:pPr>
            <w:r>
              <w:t>Peças que eventualmente implicam em valores ou critério</w:t>
            </w:r>
            <w:r w:rsidR="002F0BF0">
              <w:t>s/parâmetros</w:t>
            </w:r>
            <w:r>
              <w:t xml:space="preserve"> de cálculo</w:t>
            </w:r>
            <w:r w:rsidR="002F0BF0">
              <w:t>.</w:t>
            </w:r>
          </w:p>
        </w:tc>
      </w:tr>
    </w:tbl>
    <w:p w:rsidR="005D0360" w:rsidRDefault="005D0360" w:rsidP="00891D63">
      <w:pPr>
        <w:shd w:val="clear" w:color="auto" w:fill="FFFFFF"/>
        <w:spacing w:line="240" w:lineRule="auto"/>
        <w:ind w:left="19"/>
        <w:jc w:val="center"/>
      </w:pPr>
    </w:p>
    <w:p w:rsidR="00832BDC" w:rsidRDefault="00832BDC" w:rsidP="00891D63">
      <w:pPr>
        <w:shd w:val="clear" w:color="auto" w:fill="FFFFFF"/>
        <w:spacing w:line="240" w:lineRule="auto"/>
        <w:ind w:left="19"/>
        <w:jc w:val="center"/>
      </w:pPr>
    </w:p>
    <w:sectPr w:rsidR="00832BDC" w:rsidSect="00832BDC">
      <w:headerReference w:type="default" r:id="rId8"/>
      <w:pgSz w:w="11906" w:h="16838" w:code="9"/>
      <w:pgMar w:top="2268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E8" w:rsidRDefault="00681EE8">
      <w:pPr>
        <w:spacing w:after="0" w:line="240" w:lineRule="auto"/>
      </w:pPr>
      <w:r>
        <w:separator/>
      </w:r>
    </w:p>
  </w:endnote>
  <w:endnote w:type="continuationSeparator" w:id="0">
    <w:p w:rsidR="00681EE8" w:rsidRDefault="0068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E8" w:rsidRDefault="00681EE8">
      <w:pPr>
        <w:spacing w:after="0" w:line="240" w:lineRule="auto"/>
      </w:pPr>
      <w:r>
        <w:separator/>
      </w:r>
    </w:p>
  </w:footnote>
  <w:footnote w:type="continuationSeparator" w:id="0">
    <w:p w:rsidR="00681EE8" w:rsidRDefault="0068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E8" w:rsidRDefault="00681EE8">
    <w:pPr>
      <w:pStyle w:val="Cabealho"/>
      <w:jc w:val="center"/>
    </w:pPr>
  </w:p>
  <w:p w:rsidR="00681EE8" w:rsidRDefault="00681EE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62290B9" wp14:editId="7716C1B3">
          <wp:extent cx="542925" cy="457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1EE8" w:rsidRDefault="00681EE8">
    <w:pPr>
      <w:pStyle w:val="SemEspaamento"/>
      <w:jc w:val="center"/>
    </w:pPr>
    <w:r>
      <w:t>ESTADO DO ESPIRITO SANTO</w:t>
    </w:r>
  </w:p>
  <w:p w:rsidR="00681EE8" w:rsidRDefault="00681EE8">
    <w:pPr>
      <w:pStyle w:val="SemEspaamento"/>
      <w:jc w:val="center"/>
    </w:pPr>
    <w:r>
      <w:t>PODER JUDICIÁRIO</w:t>
    </w:r>
  </w:p>
  <w:p w:rsidR="00681EE8" w:rsidRDefault="00681EE8">
    <w:pPr>
      <w:pStyle w:val="SemEspaamento"/>
      <w:jc w:val="center"/>
    </w:pPr>
    <w:r>
      <w:rPr>
        <w:b/>
        <w:bCs/>
      </w:rPr>
      <w:t>TRIBUNAL DE JUSTIÇA</w:t>
    </w:r>
  </w:p>
  <w:p w:rsidR="00681EE8" w:rsidRDefault="00681EE8">
    <w:pPr>
      <w:pStyle w:val="SemEspaamento"/>
      <w:jc w:val="center"/>
    </w:pPr>
    <w:r>
      <w:t>Assessoria de Precatórios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60"/>
    <w:rsid w:val="000362DD"/>
    <w:rsid w:val="000375AE"/>
    <w:rsid w:val="0006030C"/>
    <w:rsid w:val="000D5E8D"/>
    <w:rsid w:val="000E3F3C"/>
    <w:rsid w:val="00112DFA"/>
    <w:rsid w:val="00137832"/>
    <w:rsid w:val="001436B4"/>
    <w:rsid w:val="00172DD9"/>
    <w:rsid w:val="00186E8D"/>
    <w:rsid w:val="001C7B78"/>
    <w:rsid w:val="002144EB"/>
    <w:rsid w:val="0023000D"/>
    <w:rsid w:val="002511EB"/>
    <w:rsid w:val="00257B56"/>
    <w:rsid w:val="00266409"/>
    <w:rsid w:val="00274A2C"/>
    <w:rsid w:val="00287BED"/>
    <w:rsid w:val="0029076B"/>
    <w:rsid w:val="0029299D"/>
    <w:rsid w:val="00292EBF"/>
    <w:rsid w:val="00296890"/>
    <w:rsid w:val="002B06D7"/>
    <w:rsid w:val="002B689C"/>
    <w:rsid w:val="002F0BF0"/>
    <w:rsid w:val="00302961"/>
    <w:rsid w:val="00306072"/>
    <w:rsid w:val="00377CAD"/>
    <w:rsid w:val="00380CEE"/>
    <w:rsid w:val="003C7899"/>
    <w:rsid w:val="003D5D1F"/>
    <w:rsid w:val="0040014D"/>
    <w:rsid w:val="00425F7F"/>
    <w:rsid w:val="004534C4"/>
    <w:rsid w:val="00463709"/>
    <w:rsid w:val="0047566F"/>
    <w:rsid w:val="004A1653"/>
    <w:rsid w:val="004B1050"/>
    <w:rsid w:val="004D1582"/>
    <w:rsid w:val="004D587C"/>
    <w:rsid w:val="004D61BA"/>
    <w:rsid w:val="004E32C6"/>
    <w:rsid w:val="004F4E46"/>
    <w:rsid w:val="0050795D"/>
    <w:rsid w:val="005537DB"/>
    <w:rsid w:val="00560BC6"/>
    <w:rsid w:val="005652FC"/>
    <w:rsid w:val="0057330E"/>
    <w:rsid w:val="005B35F7"/>
    <w:rsid w:val="005B47E0"/>
    <w:rsid w:val="005D0360"/>
    <w:rsid w:val="005F64D0"/>
    <w:rsid w:val="006552C2"/>
    <w:rsid w:val="00667B0B"/>
    <w:rsid w:val="00681EE8"/>
    <w:rsid w:val="0069305C"/>
    <w:rsid w:val="006B4B76"/>
    <w:rsid w:val="006B6911"/>
    <w:rsid w:val="006D3BCB"/>
    <w:rsid w:val="006E2363"/>
    <w:rsid w:val="0076007B"/>
    <w:rsid w:val="00783FD9"/>
    <w:rsid w:val="007960E5"/>
    <w:rsid w:val="007E6E43"/>
    <w:rsid w:val="00826045"/>
    <w:rsid w:val="00832BDC"/>
    <w:rsid w:val="00874CF5"/>
    <w:rsid w:val="00875E16"/>
    <w:rsid w:val="00891D63"/>
    <w:rsid w:val="00953C97"/>
    <w:rsid w:val="00994120"/>
    <w:rsid w:val="009D7EFE"/>
    <w:rsid w:val="009E671B"/>
    <w:rsid w:val="00A01A92"/>
    <w:rsid w:val="00A13724"/>
    <w:rsid w:val="00A73ECF"/>
    <w:rsid w:val="00AB24A0"/>
    <w:rsid w:val="00AC4C43"/>
    <w:rsid w:val="00AF266D"/>
    <w:rsid w:val="00B57B1F"/>
    <w:rsid w:val="00BC15BC"/>
    <w:rsid w:val="00BC7E78"/>
    <w:rsid w:val="00BD146B"/>
    <w:rsid w:val="00BE7AB6"/>
    <w:rsid w:val="00BF3938"/>
    <w:rsid w:val="00C738E9"/>
    <w:rsid w:val="00CA256E"/>
    <w:rsid w:val="00CC2ECD"/>
    <w:rsid w:val="00CF486E"/>
    <w:rsid w:val="00D23868"/>
    <w:rsid w:val="00D31A5F"/>
    <w:rsid w:val="00D403E5"/>
    <w:rsid w:val="00D90519"/>
    <w:rsid w:val="00E228EA"/>
    <w:rsid w:val="00E2648C"/>
    <w:rsid w:val="00EE7D35"/>
    <w:rsid w:val="00EF1EEB"/>
    <w:rsid w:val="00EF2CFC"/>
    <w:rsid w:val="00F46F09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Ttulododocumento"/>
    <w:pPr>
      <w:outlineLvl w:val="1"/>
    </w:pPr>
  </w:style>
  <w:style w:type="paragraph" w:styleId="Ttulo3">
    <w:name w:val="heading 3"/>
    <w:basedOn w:val="Ttulododocument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46191"/>
  </w:style>
  <w:style w:type="character" w:customStyle="1" w:styleId="RodapChar">
    <w:name w:val="Rodapé Char"/>
    <w:basedOn w:val="Fontepargpadro"/>
    <w:link w:val="Rodap"/>
    <w:uiPriority w:val="99"/>
    <w:qFormat/>
    <w:rsid w:val="00A4619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619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paragraph" w:styleId="Cabealho">
    <w:name w:val="header"/>
    <w:basedOn w:val="Normal"/>
    <w:link w:val="CabealhoChar"/>
    <w:uiPriority w:val="99"/>
    <w:unhideWhenUsed/>
    <w:rsid w:val="00A461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619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61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61674"/>
    <w:pPr>
      <w:spacing w:line="240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50A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Ttulododocumento"/>
    <w:pPr>
      <w:outlineLvl w:val="1"/>
    </w:pPr>
  </w:style>
  <w:style w:type="paragraph" w:styleId="Ttulo3">
    <w:name w:val="heading 3"/>
    <w:basedOn w:val="Ttulododocument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46191"/>
  </w:style>
  <w:style w:type="character" w:customStyle="1" w:styleId="RodapChar">
    <w:name w:val="Rodapé Char"/>
    <w:basedOn w:val="Fontepargpadro"/>
    <w:link w:val="Rodap"/>
    <w:uiPriority w:val="99"/>
    <w:qFormat/>
    <w:rsid w:val="00A4619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4619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paragraph" w:styleId="Cabealho">
    <w:name w:val="header"/>
    <w:basedOn w:val="Normal"/>
    <w:link w:val="CabealhoChar"/>
    <w:uiPriority w:val="99"/>
    <w:unhideWhenUsed/>
    <w:rsid w:val="00A4619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A4619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461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61674"/>
    <w:pPr>
      <w:spacing w:line="240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250A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0B83-C646-46E3-BCDA-43DE1246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Anjos de Souza Santos</dc:creator>
  <cp:lastModifiedBy>TEVESCOVI</cp:lastModifiedBy>
  <cp:revision>5</cp:revision>
  <cp:lastPrinted>2019-09-27T14:53:00Z</cp:lastPrinted>
  <dcterms:created xsi:type="dcterms:W3CDTF">2019-10-15T15:49:00Z</dcterms:created>
  <dcterms:modified xsi:type="dcterms:W3CDTF">2019-11-01T21:30:00Z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TJES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74108043</vt:i4>
  </property>
</Properties>
</file>