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8C" w:rsidRDefault="00FB448C">
      <w:pPr>
        <w:jc w:val="both"/>
      </w:pPr>
      <w:bookmarkStart w:id="0" w:name="_GoBack"/>
      <w:bookmarkEnd w:id="0"/>
    </w:p>
    <w:p w:rsidR="002424EB" w:rsidRPr="002424EB" w:rsidRDefault="002424EB" w:rsidP="002424EB">
      <w:pPr>
        <w:jc w:val="center"/>
        <w:rPr>
          <w:caps/>
        </w:rPr>
      </w:pPr>
      <w:r w:rsidRPr="002424EB">
        <w:rPr>
          <w:b/>
          <w:caps/>
          <w:sz w:val="24"/>
          <w:szCs w:val="24"/>
          <w:shd w:val="clear" w:color="auto" w:fill="FFFFFF"/>
        </w:rPr>
        <w:t>Anexo II – Ato de E</w:t>
      </w:r>
      <w:r w:rsidR="00773751">
        <w:rPr>
          <w:b/>
          <w:caps/>
          <w:sz w:val="24"/>
          <w:szCs w:val="24"/>
          <w:shd w:val="clear" w:color="auto" w:fill="FFFFFF"/>
        </w:rPr>
        <w:t>ncerramento do Exercício de 2017</w:t>
      </w:r>
    </w:p>
    <w:p w:rsidR="002424EB" w:rsidRPr="002424EB" w:rsidRDefault="002424EB">
      <w:pPr>
        <w:jc w:val="center"/>
        <w:rPr>
          <w:b/>
        </w:rPr>
      </w:pPr>
    </w:p>
    <w:p w:rsidR="002424EB" w:rsidRDefault="002424EB">
      <w:pPr>
        <w:jc w:val="center"/>
        <w:rPr>
          <w:b/>
          <w:lang w:val="pt-PT"/>
        </w:rPr>
      </w:pPr>
    </w:p>
    <w:p w:rsidR="002424EB" w:rsidRDefault="002424EB">
      <w:pPr>
        <w:jc w:val="center"/>
        <w:rPr>
          <w:b/>
          <w:lang w:val="pt-PT"/>
        </w:rPr>
      </w:pPr>
    </w:p>
    <w:p w:rsidR="00FE7C4B" w:rsidRDefault="00F502A5">
      <w:pPr>
        <w:jc w:val="center"/>
        <w:rPr>
          <w:b/>
          <w:lang w:val="pt-PT"/>
        </w:rPr>
      </w:pPr>
      <w:r>
        <w:rPr>
          <w:b/>
          <w:lang w:val="pt-PT"/>
        </w:rPr>
        <w:t>UNIDADES RESPONSÁVEIS PA</w:t>
      </w:r>
      <w:r w:rsidR="00AD562D">
        <w:rPr>
          <w:b/>
          <w:lang w:val="pt-PT"/>
        </w:rPr>
        <w:t xml:space="preserve">RA ENTREGA DOS ITENS DO ANEXO F E G DA IN TCE/ES </w:t>
      </w:r>
    </w:p>
    <w:p w:rsidR="00FB448C" w:rsidRDefault="00AD562D">
      <w:pPr>
        <w:jc w:val="center"/>
      </w:pPr>
      <w:r w:rsidRPr="00FE7C4B">
        <w:rPr>
          <w:b/>
          <w:lang w:val="pt-PT"/>
        </w:rPr>
        <w:t>nº 34/2015</w:t>
      </w:r>
      <w:r w:rsidR="00F502A5" w:rsidRPr="00FE7C4B">
        <w:rPr>
          <w:b/>
          <w:lang w:val="pt-PT"/>
        </w:rPr>
        <w:t xml:space="preserve"> </w:t>
      </w:r>
      <w:r w:rsidR="00FE7C4B" w:rsidRPr="00FE7C4B">
        <w:rPr>
          <w:b/>
          <w:lang w:val="pt-PT"/>
        </w:rPr>
        <w:t>E ALTERAÇÕES À</w:t>
      </w:r>
      <w:r w:rsidR="00F502A5" w:rsidRPr="00FE7C4B">
        <w:rPr>
          <w:b/>
          <w:lang w:val="pt-PT"/>
        </w:rPr>
        <w:t xml:space="preserve"> COMISSÃO DE PRESTAÇÃO DE CONTAS</w:t>
      </w:r>
    </w:p>
    <w:p w:rsidR="00FB448C" w:rsidRDefault="00FB448C">
      <w:pPr>
        <w:jc w:val="center"/>
      </w:pPr>
    </w:p>
    <w:p w:rsidR="00FB448C" w:rsidRDefault="00FB448C">
      <w:pPr>
        <w:jc w:val="both"/>
      </w:pPr>
    </w:p>
    <w:tbl>
      <w:tblPr>
        <w:tblW w:w="923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000" w:firstRow="0" w:lastRow="0" w:firstColumn="0" w:lastColumn="0" w:noHBand="0" w:noVBand="0"/>
      </w:tblPr>
      <w:tblGrid>
        <w:gridCol w:w="1428"/>
        <w:gridCol w:w="5812"/>
        <w:gridCol w:w="1984"/>
        <w:gridCol w:w="7"/>
      </w:tblGrid>
      <w:tr w:rsidR="00AD562D" w:rsidTr="00324369">
        <w:trPr>
          <w:gridAfter w:val="1"/>
          <w:wAfter w:w="7" w:type="dxa"/>
          <w:trHeight w:val="855"/>
        </w:trPr>
        <w:tc>
          <w:tcPr>
            <w:tcW w:w="1428" w:type="dxa"/>
            <w:tcBorders>
              <w:top w:val="single" w:sz="4" w:space="0" w:color="00000A"/>
              <w:bottom w:val="single" w:sz="4" w:space="0" w:color="00000A"/>
              <w:right w:val="single" w:sz="4" w:space="0" w:color="00000A"/>
            </w:tcBorders>
            <w:shd w:val="clear" w:color="auto" w:fill="F2F2F2"/>
            <w:vAlign w:val="center"/>
          </w:tcPr>
          <w:p w:rsidR="00AD562D" w:rsidRDefault="00AD562D">
            <w:pPr>
              <w:widowControl/>
              <w:jc w:val="center"/>
            </w:pPr>
            <w:r>
              <w:rPr>
                <w:b/>
                <w:bCs/>
                <w:color w:val="000000"/>
              </w:rPr>
              <w:t>Nome</w:t>
            </w:r>
          </w:p>
        </w:tc>
        <w:tc>
          <w:tcPr>
            <w:tcW w:w="5812" w:type="dxa"/>
            <w:tcBorders>
              <w:top w:val="single" w:sz="4" w:space="0" w:color="00000A"/>
              <w:bottom w:val="single" w:sz="4" w:space="0" w:color="00000A"/>
              <w:right w:val="single" w:sz="4" w:space="0" w:color="00000A"/>
            </w:tcBorders>
            <w:shd w:val="clear" w:color="auto" w:fill="F2F2F2"/>
            <w:vAlign w:val="center"/>
          </w:tcPr>
          <w:p w:rsidR="00AD562D" w:rsidRDefault="00AD562D">
            <w:pPr>
              <w:widowControl/>
              <w:jc w:val="center"/>
            </w:pPr>
            <w:r>
              <w:rPr>
                <w:b/>
                <w:bCs/>
                <w:color w:val="000000"/>
              </w:rPr>
              <w:t>Descrição</w:t>
            </w:r>
          </w:p>
        </w:tc>
        <w:tc>
          <w:tcPr>
            <w:tcW w:w="1984" w:type="dxa"/>
            <w:tcBorders>
              <w:top w:val="single" w:sz="4" w:space="0" w:color="00000A"/>
              <w:bottom w:val="single" w:sz="4" w:space="0" w:color="00000A"/>
              <w:right w:val="single" w:sz="4" w:space="0" w:color="00000A"/>
            </w:tcBorders>
            <w:shd w:val="clear" w:color="auto" w:fill="F2F2F2"/>
            <w:vAlign w:val="center"/>
          </w:tcPr>
          <w:p w:rsidR="00AD562D" w:rsidRDefault="00AD562D">
            <w:pPr>
              <w:widowControl/>
              <w:jc w:val="center"/>
            </w:pPr>
            <w:r>
              <w:rPr>
                <w:b/>
                <w:bCs/>
                <w:color w:val="000000"/>
              </w:rPr>
              <w:t>RESPONSÁVEL</w:t>
            </w:r>
          </w:p>
        </w:tc>
      </w:tr>
      <w:tr w:rsidR="00AD562D" w:rsidTr="00324369">
        <w:trPr>
          <w:gridAfter w:val="1"/>
          <w:wAfter w:w="7" w:type="dxa"/>
          <w:trHeight w:val="366"/>
        </w:trPr>
        <w:tc>
          <w:tcPr>
            <w:tcW w:w="1428"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ROLRES</w:t>
            </w:r>
          </w:p>
        </w:tc>
        <w:tc>
          <w:tcPr>
            <w:tcW w:w="5812" w:type="dxa"/>
            <w:vMerge w:val="restart"/>
            <w:tcBorders>
              <w:left w:val="single" w:sz="4" w:space="0" w:color="00000A"/>
              <w:bottom w:val="single" w:sz="4" w:space="0" w:color="000001"/>
              <w:right w:val="single" w:sz="4" w:space="0" w:color="00000A"/>
            </w:tcBorders>
            <w:shd w:val="clear" w:color="auto" w:fill="FFFFFF"/>
            <w:tcMar>
              <w:left w:w="65" w:type="dxa"/>
            </w:tcMar>
            <w:vAlign w:val="center"/>
          </w:tcPr>
          <w:p w:rsidR="009016AF" w:rsidRPr="009016AF" w:rsidRDefault="00AD562D" w:rsidP="009016AF">
            <w:pPr>
              <w:widowControl/>
              <w:jc w:val="both"/>
            </w:pPr>
            <w:r>
              <w:rPr>
                <w:color w:val="000000"/>
              </w:rPr>
              <w:t>Rol de responsáveis contendo: (Artigo 137, I,</w:t>
            </w:r>
            <w:r w:rsidR="009016AF">
              <w:rPr>
                <w:color w:val="000000"/>
              </w:rPr>
              <w:t xml:space="preserve"> do RITCEES, </w:t>
            </w:r>
            <w:r>
              <w:rPr>
                <w:color w:val="000000"/>
              </w:rPr>
              <w:t>aprovad</w:t>
            </w:r>
            <w:r w:rsidR="009016AF">
              <w:rPr>
                <w:color w:val="000000"/>
              </w:rPr>
              <w:t>o pela Resolução TC n° 261/2013)</w:t>
            </w:r>
          </w:p>
          <w:p w:rsidR="009016AF" w:rsidRDefault="00AD562D" w:rsidP="009016AF">
            <w:pPr>
              <w:widowControl/>
              <w:rPr>
                <w:color w:val="000000"/>
              </w:rPr>
            </w:pPr>
            <w:r>
              <w:rPr>
                <w:color w:val="000000"/>
              </w:rPr>
              <w:t xml:space="preserve">• Nome   </w:t>
            </w:r>
          </w:p>
          <w:p w:rsidR="009016AF" w:rsidRDefault="00AD562D" w:rsidP="009016AF">
            <w:pPr>
              <w:widowControl/>
              <w:rPr>
                <w:color w:val="000000"/>
              </w:rPr>
            </w:pPr>
            <w:r>
              <w:rPr>
                <w:color w:val="000000"/>
              </w:rPr>
              <w:t xml:space="preserve">                                                                                                                                                                                              </w:t>
            </w:r>
          </w:p>
          <w:p w:rsidR="009016AF" w:rsidRDefault="00AD562D" w:rsidP="009016AF">
            <w:pPr>
              <w:widowControl/>
              <w:rPr>
                <w:color w:val="000000"/>
              </w:rPr>
            </w:pPr>
            <w:r>
              <w:rPr>
                <w:color w:val="000000"/>
              </w:rPr>
              <w:t xml:space="preserve">• Endereço residencial e eletrônico      </w:t>
            </w:r>
          </w:p>
          <w:p w:rsidR="009016AF" w:rsidRDefault="00AD562D" w:rsidP="009016AF">
            <w:pPr>
              <w:widowControl/>
              <w:rPr>
                <w:color w:val="000000"/>
              </w:rPr>
            </w:pPr>
            <w:r>
              <w:rPr>
                <w:color w:val="000000"/>
              </w:rPr>
              <w:t xml:space="preserve">                                                                                                                                    </w:t>
            </w:r>
          </w:p>
          <w:p w:rsidR="009016AF" w:rsidRDefault="00AD562D" w:rsidP="009016AF">
            <w:pPr>
              <w:widowControl/>
              <w:rPr>
                <w:color w:val="000000"/>
              </w:rPr>
            </w:pPr>
            <w:r>
              <w:rPr>
                <w:color w:val="000000"/>
              </w:rPr>
              <w:t xml:space="preserve">• Cargo ou Função   </w:t>
            </w:r>
          </w:p>
          <w:p w:rsidR="009016AF" w:rsidRDefault="00AD562D" w:rsidP="009016AF">
            <w:pPr>
              <w:widowControl/>
              <w:rPr>
                <w:color w:val="000000"/>
              </w:rPr>
            </w:pPr>
            <w:r>
              <w:rPr>
                <w:color w:val="000000"/>
              </w:rPr>
              <w:t xml:space="preserve">                                                                                                                                                                            • Inscrição no cadastro de Pessoas Físicas da RFB (CPF) </w:t>
            </w:r>
          </w:p>
          <w:p w:rsidR="009016AF" w:rsidRDefault="00AD562D" w:rsidP="009016AF">
            <w:pPr>
              <w:widowControl/>
              <w:rPr>
                <w:color w:val="000000"/>
              </w:rPr>
            </w:pPr>
            <w:r>
              <w:rPr>
                <w:color w:val="000000"/>
              </w:rPr>
              <w:br/>
              <w:t xml:space="preserve">• Período de gestão </w:t>
            </w:r>
          </w:p>
          <w:p w:rsidR="009016AF" w:rsidRPr="009016AF" w:rsidRDefault="00AD562D" w:rsidP="009016AF">
            <w:pPr>
              <w:widowControl/>
              <w:rPr>
                <w:color w:val="000000"/>
              </w:rPr>
            </w:pPr>
            <w:r>
              <w:rPr>
                <w:color w:val="000000"/>
              </w:rPr>
              <w:br/>
            </w:r>
            <w:r w:rsidR="009016AF">
              <w:rPr>
                <w:color w:val="000000"/>
              </w:rPr>
              <w:t xml:space="preserve">• Ato de nomeação e exoneração </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Secretaria de Controle Interno</w:t>
            </w:r>
          </w:p>
        </w:tc>
      </w:tr>
      <w:tr w:rsidR="00AD562D" w:rsidTr="00324369">
        <w:trPr>
          <w:gridAfter w:val="1"/>
          <w:wAfter w:w="7" w:type="dxa"/>
          <w:trHeight w:val="480"/>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2431"/>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80"/>
        </w:trPr>
        <w:tc>
          <w:tcPr>
            <w:tcW w:w="1428"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RELGES</w:t>
            </w:r>
          </w:p>
        </w:tc>
        <w:tc>
          <w:tcPr>
            <w:tcW w:w="5812" w:type="dxa"/>
            <w:vMerge w:val="restart"/>
            <w:tcBorders>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rsidP="009016AF">
            <w:pPr>
              <w:widowControl/>
              <w:jc w:val="both"/>
            </w:pPr>
            <w:r>
              <w:rPr>
                <w:color w:val="000000"/>
              </w:rPr>
              <w:t xml:space="preserve">Relatório de gestão abordando aspectos de natureza orçamentária, financeira, fiscal, operacional e patrimonial, organizado de forma que permita uma visão de </w:t>
            </w:r>
            <w:r w:rsidR="009016AF">
              <w:rPr>
                <w:color w:val="000000"/>
              </w:rPr>
              <w:t>c</w:t>
            </w:r>
            <w:r>
              <w:rPr>
                <w:color w:val="000000"/>
              </w:rPr>
              <w:t>onformidade e desempenho dos atos de gestão praticados pelos ordenadores de despesa, evidenciando os resultados dos programas desenvolvidos no âmbito de cada órgão. (Artigo 137, II, do RITCEES, aprovado pela Resolução TC nº 261/2013).</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Chefe do Poder</w:t>
            </w:r>
          </w:p>
        </w:tc>
      </w:tr>
      <w:tr w:rsidR="00AD562D" w:rsidTr="00324369">
        <w:trPr>
          <w:gridAfter w:val="1"/>
          <w:wAfter w:w="7" w:type="dxa"/>
          <w:trHeight w:val="548"/>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630"/>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366"/>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RELUCI</w:t>
            </w:r>
          </w:p>
        </w:tc>
        <w:tc>
          <w:tcPr>
            <w:tcW w:w="5812" w:type="dxa"/>
            <w:vMerge w:val="restart"/>
            <w:tcBorders>
              <w:top w:val="single" w:sz="4" w:space="0" w:color="00000A"/>
              <w:left w:val="single" w:sz="4" w:space="0" w:color="00000A"/>
              <w:right w:val="single" w:sz="4" w:space="0" w:color="00000A"/>
            </w:tcBorders>
            <w:shd w:val="clear" w:color="auto" w:fill="FFFFFF"/>
            <w:tcMar>
              <w:left w:w="65" w:type="dxa"/>
            </w:tcMar>
            <w:vAlign w:val="center"/>
          </w:tcPr>
          <w:p w:rsidR="00AD562D" w:rsidRDefault="00AD562D" w:rsidP="009016AF">
            <w:pPr>
              <w:widowControl/>
              <w:jc w:val="both"/>
            </w:pPr>
            <w:r>
              <w:rPr>
                <w:color w:val="000000"/>
              </w:rPr>
              <w:t>Relatório e parecer conclusivo emitido pel</w:t>
            </w:r>
            <w:r w:rsidR="009016AF">
              <w:rPr>
                <w:color w:val="000000"/>
              </w:rPr>
              <w:t>o controle interno</w:t>
            </w:r>
            <w:r>
              <w:rPr>
                <w:color w:val="000000"/>
              </w:rPr>
              <w:t xml:space="preserve"> contendo</w:t>
            </w:r>
            <w:r w:rsidR="009016AF">
              <w:rPr>
                <w:color w:val="000000"/>
              </w:rPr>
              <w:t xml:space="preserve"> os elementos indicados no Anexo II, Tabela 7, desta Instrução N</w:t>
            </w:r>
            <w:r>
              <w:rPr>
                <w:color w:val="000000"/>
              </w:rPr>
              <w:t xml:space="preserve">ormativa. (Artigo 135, § 4º c/c artigo 137, IV do RITCEES, aprovado pela Resolução TC nº 261/2013)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Secretaria de Controle Interno</w:t>
            </w:r>
          </w:p>
        </w:tc>
      </w:tr>
      <w:tr w:rsidR="00AD562D" w:rsidTr="00324369">
        <w:trPr>
          <w:gridAfter w:val="1"/>
          <w:wAfter w:w="7" w:type="dxa"/>
          <w:trHeight w:val="42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39"/>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1138"/>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PROEXE</w:t>
            </w:r>
          </w:p>
        </w:tc>
        <w:tc>
          <w:tcPr>
            <w:tcW w:w="5812" w:type="dxa"/>
            <w:tcBorders>
              <w:top w:val="single" w:sz="4" w:space="0" w:color="00000A"/>
              <w:bottom w:val="single" w:sz="4" w:space="0" w:color="00000A"/>
              <w:right w:val="single" w:sz="4" w:space="0" w:color="00000A"/>
            </w:tcBorders>
            <w:shd w:val="clear" w:color="auto" w:fill="FFFFFF"/>
          </w:tcPr>
          <w:p w:rsidR="00AD562D" w:rsidRDefault="00AD562D" w:rsidP="009016AF">
            <w:pPr>
              <w:widowControl/>
              <w:spacing w:after="300"/>
              <w:jc w:val="both"/>
            </w:pPr>
            <w:r>
              <w:rPr>
                <w:color w:val="000000"/>
              </w:rPr>
              <w:t xml:space="preserve">Pronunciamento expresso do chefe do Poder atestando ter tomado conhecimento das conclusões contidas no </w:t>
            </w:r>
            <w:r w:rsidR="009016AF">
              <w:rPr>
                <w:color w:val="000000"/>
              </w:rPr>
              <w:t>parecer conclusivo emitido pel</w:t>
            </w:r>
            <w:r>
              <w:rPr>
                <w:color w:val="000000"/>
              </w:rPr>
              <w:t>o controle interno, a que se refere o parágrafo único, do artigo</w:t>
            </w:r>
            <w:r w:rsidR="009016AF">
              <w:rPr>
                <w:color w:val="000000"/>
              </w:rPr>
              <w:t xml:space="preserve"> 4º, da Resolução TC nº 227/2011</w:t>
            </w:r>
            <w:r>
              <w:rPr>
                <w:color w:val="000000"/>
              </w:rPr>
              <w:t xml:space="preserve">. </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Secretaria de Controle Interno</w:t>
            </w:r>
          </w:p>
        </w:tc>
      </w:tr>
      <w:tr w:rsidR="00AD562D" w:rsidTr="00324369">
        <w:trPr>
          <w:gridAfter w:val="1"/>
          <w:wAfter w:w="7" w:type="dxa"/>
          <w:trHeight w:val="366"/>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RELSCI</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spacing w:after="260"/>
              <w:jc w:val="both"/>
            </w:pPr>
            <w:r>
              <w:rPr>
                <w:color w:val="000000"/>
              </w:rPr>
              <w:t>Relatório de avaliação e cumprimento do plano de ação para impl</w:t>
            </w:r>
            <w:r w:rsidR="00222C16">
              <w:rPr>
                <w:color w:val="000000"/>
              </w:rPr>
              <w:t>antação do Sistema de Controle I</w:t>
            </w:r>
            <w:r>
              <w:rPr>
                <w:color w:val="000000"/>
              </w:rPr>
              <w:t>nterno</w:t>
            </w:r>
            <w:r w:rsidR="00222C16">
              <w:rPr>
                <w:color w:val="000000"/>
              </w:rPr>
              <w:t xml:space="preserve"> </w:t>
            </w:r>
            <w:r>
              <w:rPr>
                <w:color w:val="000000"/>
              </w:rPr>
              <w:t>(Art.3º, §</w:t>
            </w:r>
            <w:r w:rsidR="009016AF">
              <w:rPr>
                <w:color w:val="000000"/>
              </w:rPr>
              <w:t xml:space="preserve"> 3º</w:t>
            </w:r>
            <w:r>
              <w:rPr>
                <w:color w:val="000000"/>
              </w:rPr>
              <w:t>, da Resolução TC nº 227/2011.</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Secretaria de Controle Interno</w:t>
            </w:r>
          </w:p>
        </w:tc>
      </w:tr>
      <w:tr w:rsidR="00AD562D" w:rsidTr="00324369">
        <w:trPr>
          <w:gridAfter w:val="1"/>
          <w:wAfter w:w="7" w:type="dxa"/>
          <w:trHeight w:val="534"/>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23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80"/>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BALORC</w:t>
            </w:r>
            <w:r w:rsidR="00222C16">
              <w:rPr>
                <w:color w:val="000000"/>
              </w:rPr>
              <w:t>N</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Balanço Orçamentário (Anex</w:t>
            </w:r>
            <w:r w:rsidR="009016AF">
              <w:rPr>
                <w:color w:val="000000"/>
              </w:rPr>
              <w:t>o 12 Lei 4.320/1964)</w:t>
            </w:r>
            <w:r>
              <w:rPr>
                <w:color w:val="000000"/>
              </w:rPr>
              <w:t>, acompanhado de notas explicativas e outros quadros elucidativos que se fizerem necessários. (Artigo 101 da Lei Federal nº 4.320/64)</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405"/>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23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95"/>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BALFIN</w:t>
            </w:r>
            <w:r w:rsidR="00222C16">
              <w:rPr>
                <w:color w:val="000000"/>
              </w:rPr>
              <w:t>N</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 xml:space="preserve">Balanço Financeiro (Anexo 13 Lei 4.320/1964) consolidado, acompanhado de notas explicativas e outros quadros elucidativos que se fizerem necessários. (Artigo 101 da Lei Federal nº 4.320/64)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366"/>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23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835"/>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lastRenderedPageBreak/>
              <w:t>BALPAT</w:t>
            </w:r>
            <w:r w:rsidR="00222C16">
              <w:rPr>
                <w:color w:val="000000"/>
              </w:rPr>
              <w:t>N</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rsidP="009016AF">
            <w:pPr>
              <w:widowControl/>
              <w:jc w:val="both"/>
            </w:pPr>
            <w:r>
              <w:rPr>
                <w:color w:val="000000"/>
              </w:rPr>
              <w:t>Balanço Patrimonial (Anexo 14 Lei 4.320/1964), acompanhado de notas explicativas e outros quadros elucidativos que se fizerem necessários. (Artigo 101 da Lei Federal nº 4.320/64)</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Contabilidade</w:t>
            </w:r>
          </w:p>
        </w:tc>
      </w:tr>
      <w:tr w:rsidR="00AD562D" w:rsidTr="00324369">
        <w:trPr>
          <w:gridAfter w:val="1"/>
          <w:wAfter w:w="7" w:type="dxa"/>
          <w:trHeight w:val="366"/>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DEMVAP</w:t>
            </w:r>
            <w:r w:rsidR="00222C16">
              <w:rPr>
                <w:color w:val="000000"/>
              </w:rPr>
              <w:t>N</w:t>
            </w:r>
          </w:p>
        </w:tc>
        <w:tc>
          <w:tcPr>
            <w:tcW w:w="581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pPr>
              <w:widowControl/>
              <w:jc w:val="both"/>
            </w:pPr>
            <w:r>
              <w:rPr>
                <w:color w:val="000000"/>
              </w:rPr>
              <w:t xml:space="preserve">Demonstração das Variações Patrimoniais (Anexo 15 Lei 4.320/1964) consolidada, acompanhada de notas explicativas e outros quadros elucidativos que se fizerem necessários. (Artigo 101 da Lei Federal nº 4.320/64) </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613"/>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366"/>
        </w:trPr>
        <w:tc>
          <w:tcPr>
            <w:tcW w:w="1428"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DEMDIF</w:t>
            </w:r>
          </w:p>
        </w:tc>
        <w:tc>
          <w:tcPr>
            <w:tcW w:w="5812" w:type="dxa"/>
            <w:vMerge w:val="restart"/>
            <w:tcBorders>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rsidP="009016AF">
            <w:pPr>
              <w:widowControl/>
              <w:jc w:val="both"/>
            </w:pPr>
            <w:r>
              <w:rPr>
                <w:color w:val="000000"/>
              </w:rPr>
              <w:t>Demonstrativo da Dívida Fundada (Anexo 16 Lei 4.32</w:t>
            </w:r>
            <w:r w:rsidR="009016AF">
              <w:rPr>
                <w:color w:val="000000"/>
              </w:rPr>
              <w:t>0/1964)</w:t>
            </w:r>
            <w:r>
              <w:rPr>
                <w:color w:val="000000"/>
              </w:rPr>
              <w:t xml:space="preserve">, acompanhado de notas explicativas e outros quadros elucidativos que se fizerem necessários. (Artigo 101 da Lei Federal nº 4.320/64) </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566"/>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366"/>
        </w:trPr>
        <w:tc>
          <w:tcPr>
            <w:tcW w:w="1428"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 xml:space="preserve">DEMDFL </w:t>
            </w:r>
          </w:p>
        </w:tc>
        <w:tc>
          <w:tcPr>
            <w:tcW w:w="5812" w:type="dxa"/>
            <w:vMerge w:val="restart"/>
            <w:tcBorders>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pPr>
              <w:widowControl/>
              <w:jc w:val="both"/>
            </w:pPr>
            <w:r>
              <w:rPr>
                <w:color w:val="000000"/>
              </w:rPr>
              <w:t xml:space="preserve">Demonstrativo da Dívida Flutuante (Anexo 17 Lei 4.320/1964) consolidado, acompanhado de notas explicativas e outros quadros elucidativos que se fizerem necessários. (Artigo 101 da Lei Federal nº 4.320/64) </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603"/>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65"/>
        </w:trPr>
        <w:tc>
          <w:tcPr>
            <w:tcW w:w="1428"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DEMFCA</w:t>
            </w:r>
          </w:p>
        </w:tc>
        <w:tc>
          <w:tcPr>
            <w:tcW w:w="5812" w:type="dxa"/>
            <w:vMerge w:val="restart"/>
            <w:tcBorders>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rsidP="00C708EA">
            <w:pPr>
              <w:widowControl/>
              <w:jc w:val="both"/>
            </w:pPr>
            <w:r>
              <w:rPr>
                <w:color w:val="000000"/>
              </w:rPr>
              <w:t>Demonstração dos Fl</w:t>
            </w:r>
            <w:r w:rsidR="009016AF">
              <w:rPr>
                <w:color w:val="000000"/>
              </w:rPr>
              <w:t xml:space="preserve">uxos de Caixa - DFC </w:t>
            </w:r>
            <w:r>
              <w:rPr>
                <w:color w:val="000000"/>
              </w:rPr>
              <w:t>(Parte V do Manual de Contabilidade Apl</w:t>
            </w:r>
            <w:r w:rsidR="00C708EA">
              <w:rPr>
                <w:color w:val="000000"/>
              </w:rPr>
              <w:t>icado ao Setor Público - MCASP), acompanhada de notas explicativas e outros quadros elucidativos que se fizerem necessários.</w:t>
            </w:r>
            <w:r>
              <w:rPr>
                <w:color w:val="000000"/>
              </w:rPr>
              <w:t xml:space="preserve"> (Resolução CFC nº 1.1</w:t>
            </w:r>
            <w:r w:rsidR="00C708EA">
              <w:rPr>
                <w:color w:val="000000"/>
              </w:rPr>
              <w:t>33</w:t>
            </w:r>
            <w:r>
              <w:rPr>
                <w:color w:val="000000"/>
              </w:rPr>
              <w:t>/2008 - NBC T 16</w:t>
            </w:r>
            <w:r w:rsidR="00C708EA">
              <w:rPr>
                <w:color w:val="000000"/>
              </w:rPr>
              <w:t>.6</w:t>
            </w:r>
            <w:r>
              <w:rPr>
                <w:color w:val="000000"/>
              </w:rPr>
              <w:t xml:space="preserve"> c/c Portaria ST</w:t>
            </w:r>
            <w:r w:rsidR="00C708EA">
              <w:rPr>
                <w:color w:val="000000"/>
              </w:rPr>
              <w:t>N nº 700/2014</w:t>
            </w:r>
            <w:r>
              <w:rPr>
                <w:color w:val="000000"/>
              </w:rPr>
              <w:t xml:space="preserve">) </w:t>
            </w:r>
          </w:p>
        </w:tc>
        <w:tc>
          <w:tcPr>
            <w:tcW w:w="1984" w:type="dxa"/>
            <w:vMerge w:val="restart"/>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519"/>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450"/>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BALVER</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Balancete de verificação, com saldos acumulados no exercício, detalhado até o nível de conta contábil de lançamento, abrangendo todas as contas contábeis com movimentação no exercício</w:t>
            </w:r>
            <w:r w:rsidR="00C708EA">
              <w:rPr>
                <w:color w:val="000000"/>
              </w:rPr>
              <w:t>, segregadas por natureza da informação patrimonial, orçamentária, e de controle</w:t>
            </w:r>
            <w:r>
              <w:rPr>
                <w:color w:val="000000"/>
              </w:rPr>
              <w:t>, informando o saldo anterior, o total a débito, o total a crédito e o saldo final.</w:t>
            </w:r>
          </w:p>
          <w:p w:rsidR="00AD562D" w:rsidRDefault="00AD562D">
            <w:pPr>
              <w:widowControl/>
              <w:jc w:val="both"/>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1101"/>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2533"/>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BALEXO</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C708EA" w:rsidRDefault="00AD562D" w:rsidP="00C708EA">
            <w:pPr>
              <w:widowControl/>
              <w:jc w:val="both"/>
              <w:rPr>
                <w:color w:val="000000"/>
              </w:rPr>
            </w:pPr>
            <w:r>
              <w:rPr>
                <w:color w:val="000000"/>
              </w:rPr>
              <w:t xml:space="preserve">Balancete da execução orçamentária da despesa, contendo os saldos acumulado até o mês de dezembro, demonstrando a previsão orçamentária, a movimentação dos créditos adicionais, os valores empenhados, liquidados e pagos, e a fonte de recursos, </w:t>
            </w:r>
            <w:r w:rsidR="00C708EA">
              <w:rPr>
                <w:color w:val="000000"/>
              </w:rPr>
              <w:t>evidenciados por</w:t>
            </w:r>
            <w:r>
              <w:rPr>
                <w:color w:val="000000"/>
              </w:rPr>
              <w:t xml:space="preserve">: </w:t>
            </w:r>
          </w:p>
          <w:p w:rsidR="00AD562D" w:rsidRDefault="00AD562D" w:rsidP="00C708EA">
            <w:pPr>
              <w:widowControl/>
              <w:rPr>
                <w:color w:val="000000"/>
              </w:rPr>
            </w:pPr>
            <w:r>
              <w:rPr>
                <w:color w:val="000000"/>
              </w:rPr>
              <w:br/>
              <w:t xml:space="preserve">• </w:t>
            </w:r>
            <w:r w:rsidR="00C708EA">
              <w:rPr>
                <w:color w:val="000000"/>
              </w:rPr>
              <w:t>Relatório detalhado por ó</w:t>
            </w:r>
            <w:r>
              <w:rPr>
                <w:color w:val="000000"/>
              </w:rPr>
              <w:t>rgão/</w:t>
            </w:r>
            <w:r w:rsidR="00C708EA">
              <w:rPr>
                <w:color w:val="000000"/>
              </w:rPr>
              <w:t>elemento de despesa;</w:t>
            </w:r>
          </w:p>
          <w:p w:rsidR="00C708EA" w:rsidRDefault="00C708EA" w:rsidP="00C708EA">
            <w:pPr>
              <w:widowControl/>
            </w:pPr>
          </w:p>
          <w:p w:rsidR="00C708EA" w:rsidRDefault="00AD562D">
            <w:pPr>
              <w:widowControl/>
              <w:jc w:val="both"/>
              <w:rPr>
                <w:color w:val="000000"/>
              </w:rPr>
            </w:pPr>
            <w:r>
              <w:rPr>
                <w:color w:val="000000"/>
              </w:rPr>
              <w:t>•</w:t>
            </w:r>
            <w:r w:rsidR="00C708EA">
              <w:rPr>
                <w:color w:val="000000"/>
              </w:rPr>
              <w:t xml:space="preserve"> Relatório detalhado por função de despesa;</w:t>
            </w:r>
            <w:r>
              <w:rPr>
                <w:color w:val="000000"/>
              </w:rPr>
              <w:t xml:space="preserve"> </w:t>
            </w:r>
          </w:p>
          <w:p w:rsidR="00C708EA" w:rsidRDefault="00AD562D">
            <w:pPr>
              <w:widowControl/>
              <w:jc w:val="both"/>
              <w:rPr>
                <w:color w:val="000000"/>
              </w:rPr>
            </w:pPr>
            <w:r>
              <w:rPr>
                <w:color w:val="000000"/>
              </w:rPr>
              <w:br/>
              <w:t>•</w:t>
            </w:r>
            <w:r w:rsidR="00C708EA">
              <w:rPr>
                <w:color w:val="000000"/>
              </w:rPr>
              <w:t xml:space="preserve"> Relatório detalhado por função/subfunção de despesa;</w:t>
            </w:r>
          </w:p>
          <w:p w:rsidR="00C708EA" w:rsidRDefault="00AD562D">
            <w:pPr>
              <w:widowControl/>
              <w:jc w:val="both"/>
              <w:rPr>
                <w:color w:val="000000"/>
              </w:rPr>
            </w:pPr>
            <w:r>
              <w:rPr>
                <w:color w:val="000000"/>
              </w:rPr>
              <w:br/>
              <w:t>•</w:t>
            </w:r>
            <w:r w:rsidR="00C708EA">
              <w:rPr>
                <w:color w:val="000000"/>
              </w:rPr>
              <w:t xml:space="preserve"> Relatório detalhado por elemento de despesa;</w:t>
            </w:r>
          </w:p>
          <w:p w:rsidR="00C708EA" w:rsidRPr="00C708EA" w:rsidRDefault="00C708EA">
            <w:pPr>
              <w:widowControl/>
              <w:jc w:val="both"/>
              <w:rPr>
                <w:color w:val="000000"/>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Contabilidade</w:t>
            </w:r>
          </w:p>
        </w:tc>
      </w:tr>
      <w:tr w:rsidR="00AD562D" w:rsidTr="00324369">
        <w:trPr>
          <w:gridAfter w:val="1"/>
          <w:wAfter w:w="7" w:type="dxa"/>
          <w:trHeight w:val="23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870"/>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DEMCAD</w:t>
            </w:r>
            <w:r w:rsidR="00C708EA">
              <w:rPr>
                <w:color w:val="000000"/>
              </w:rPr>
              <w:t>C</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Demonstrativo dos créditos adicionais contendo informações sobre os créditos abertos</w:t>
            </w:r>
            <w:r w:rsidR="00C708EA">
              <w:rPr>
                <w:color w:val="000000"/>
              </w:rPr>
              <w:t xml:space="preserve"> no exercício:</w:t>
            </w:r>
            <w:r>
              <w:rPr>
                <w:color w:val="000000"/>
              </w:rPr>
              <w:t xml:space="preserve"> lei autorizativa, instrumento de abertura, natureza, valor e fonte de recursos utilizada, dentre outras informações, na forma do Anexo </w:t>
            </w:r>
            <w:r w:rsidR="009A2976">
              <w:rPr>
                <w:color w:val="000000"/>
              </w:rPr>
              <w:t>II, Tabela 9,</w:t>
            </w:r>
            <w:r>
              <w:rPr>
                <w:color w:val="000000"/>
              </w:rPr>
              <w:t xml:space="preserve"> desta instrução normativa.</w:t>
            </w:r>
          </w:p>
          <w:p w:rsidR="00AD562D" w:rsidRDefault="00AD562D">
            <w:pPr>
              <w:widowControl/>
              <w:jc w:val="both"/>
            </w:pP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bCs/>
                <w:color w:val="000000"/>
              </w:rPr>
              <w:t>Assessoria de Planejamento, Orçamento e Gestão Estratégica.</w:t>
            </w:r>
          </w:p>
        </w:tc>
      </w:tr>
      <w:tr w:rsidR="00AD562D" w:rsidTr="00324369">
        <w:trPr>
          <w:gridAfter w:val="1"/>
          <w:wAfter w:w="7" w:type="dxa"/>
          <w:trHeight w:val="735"/>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INVMOV</w:t>
            </w:r>
            <w:r w:rsidR="009A2976">
              <w:rPr>
                <w:color w:val="000000"/>
              </w:rPr>
              <w:t>S</w:t>
            </w:r>
          </w:p>
        </w:tc>
        <w:tc>
          <w:tcPr>
            <w:tcW w:w="5812" w:type="dxa"/>
            <w:tcBorders>
              <w:top w:val="single" w:sz="4" w:space="0" w:color="00000A"/>
              <w:bottom w:val="single" w:sz="4" w:space="0" w:color="00000A"/>
              <w:right w:val="single" w:sz="4" w:space="0" w:color="00000A"/>
            </w:tcBorders>
            <w:shd w:val="clear" w:color="auto" w:fill="FFFFFF"/>
            <w:vAlign w:val="center"/>
          </w:tcPr>
          <w:p w:rsidR="009A2976" w:rsidRDefault="00AD562D" w:rsidP="009A2976">
            <w:pPr>
              <w:widowControl/>
              <w:jc w:val="both"/>
              <w:rPr>
                <w:color w:val="000000"/>
              </w:rPr>
            </w:pPr>
            <w:r>
              <w:rPr>
                <w:color w:val="000000"/>
              </w:rPr>
              <w:t>Inventário anual dos bens móveis</w:t>
            </w:r>
            <w:r w:rsidR="009A2976">
              <w:rPr>
                <w:color w:val="000000"/>
              </w:rPr>
              <w:t>, contendo no mínimo as seguintes informações:</w:t>
            </w:r>
          </w:p>
          <w:p w:rsidR="001F7062" w:rsidRDefault="001F7062" w:rsidP="009A2976">
            <w:pPr>
              <w:widowControl/>
              <w:jc w:val="both"/>
              <w:rPr>
                <w:color w:val="000000"/>
              </w:rPr>
            </w:pPr>
          </w:p>
          <w:p w:rsidR="009A2976" w:rsidRDefault="009A2976" w:rsidP="009A2976">
            <w:pPr>
              <w:widowControl/>
              <w:jc w:val="both"/>
            </w:pPr>
            <w:r>
              <w:rPr>
                <w:color w:val="000000"/>
              </w:rPr>
              <w:t xml:space="preserve">• </w:t>
            </w:r>
            <w:r>
              <w:t>Número de patrimônio</w:t>
            </w:r>
          </w:p>
          <w:p w:rsidR="001F7062" w:rsidRDefault="001F7062" w:rsidP="009A2976">
            <w:pPr>
              <w:widowControl/>
              <w:jc w:val="both"/>
            </w:pPr>
          </w:p>
          <w:p w:rsidR="009A2976" w:rsidRDefault="009A2976" w:rsidP="009A2976">
            <w:pPr>
              <w:widowControl/>
              <w:jc w:val="both"/>
            </w:pPr>
            <w:r>
              <w:rPr>
                <w:color w:val="000000"/>
              </w:rPr>
              <w:t xml:space="preserve">• </w:t>
            </w:r>
            <w:r>
              <w:t xml:space="preserve">Descrição do bem </w:t>
            </w:r>
          </w:p>
          <w:p w:rsidR="001F7062" w:rsidRDefault="001F7062" w:rsidP="009A2976">
            <w:pPr>
              <w:widowControl/>
              <w:jc w:val="both"/>
            </w:pPr>
          </w:p>
          <w:p w:rsidR="009A2976" w:rsidRDefault="009A2976" w:rsidP="009A2976">
            <w:pPr>
              <w:widowControl/>
              <w:jc w:val="both"/>
            </w:pPr>
            <w:r>
              <w:rPr>
                <w:color w:val="000000"/>
              </w:rPr>
              <w:t xml:space="preserve">• </w:t>
            </w:r>
            <w:r>
              <w:t>Data de aquisição/incorporação</w:t>
            </w:r>
          </w:p>
          <w:p w:rsidR="001F7062" w:rsidRDefault="001F7062" w:rsidP="009A2976">
            <w:pPr>
              <w:widowControl/>
              <w:jc w:val="both"/>
            </w:pPr>
          </w:p>
          <w:p w:rsidR="009A2976" w:rsidRDefault="009A2976" w:rsidP="009A2976">
            <w:pPr>
              <w:widowControl/>
              <w:jc w:val="both"/>
            </w:pPr>
            <w:r>
              <w:rPr>
                <w:color w:val="000000"/>
              </w:rPr>
              <w:t xml:space="preserve">• </w:t>
            </w:r>
            <w:r>
              <w:t xml:space="preserve">Localização </w:t>
            </w:r>
          </w:p>
          <w:p w:rsidR="001F7062" w:rsidRDefault="001F7062" w:rsidP="009A2976">
            <w:pPr>
              <w:widowControl/>
              <w:jc w:val="both"/>
            </w:pPr>
          </w:p>
          <w:p w:rsidR="009A2976" w:rsidRDefault="009A2976" w:rsidP="009A2976">
            <w:pPr>
              <w:widowControl/>
              <w:jc w:val="both"/>
            </w:pPr>
            <w:r>
              <w:rPr>
                <w:color w:val="000000"/>
              </w:rPr>
              <w:t xml:space="preserve">• </w:t>
            </w:r>
            <w:r>
              <w:t xml:space="preserve">Quantidade </w:t>
            </w:r>
          </w:p>
          <w:p w:rsidR="001F7062" w:rsidRDefault="001F7062" w:rsidP="009A2976">
            <w:pPr>
              <w:widowControl/>
              <w:jc w:val="both"/>
            </w:pPr>
          </w:p>
          <w:p w:rsidR="009A2976" w:rsidRDefault="009A2976" w:rsidP="009A2976">
            <w:pPr>
              <w:widowControl/>
              <w:jc w:val="both"/>
            </w:pPr>
            <w:r>
              <w:rPr>
                <w:color w:val="000000"/>
              </w:rPr>
              <w:t xml:space="preserve">• </w:t>
            </w:r>
            <w:r>
              <w:t xml:space="preserve">Valor histórico e valor atualizado </w:t>
            </w:r>
          </w:p>
          <w:p w:rsidR="001F7062" w:rsidRDefault="001F7062" w:rsidP="009A2976">
            <w:pPr>
              <w:widowControl/>
              <w:jc w:val="both"/>
            </w:pPr>
          </w:p>
          <w:p w:rsidR="001F7062" w:rsidRDefault="009A2976" w:rsidP="001F7062">
            <w:pPr>
              <w:widowControl/>
              <w:jc w:val="both"/>
            </w:pPr>
            <w:r>
              <w:t xml:space="preserve">Obs.1: as colunas de quantidades, valor histórico e valor atualizado devem ser totalizadas. </w:t>
            </w:r>
          </w:p>
          <w:p w:rsidR="009A2976" w:rsidRDefault="009A2976" w:rsidP="009A2976">
            <w:pPr>
              <w:widowControl/>
              <w:jc w:val="both"/>
            </w:pPr>
            <w:r>
              <w:t>Obs.2: durante o período de mensuração reconhecimento e implementação dos procedimentos contábeis patrimoniais, cujos prazos foram estabelecidos pelas Resoluções TC 221/2010 e 242/2012, poderá ser informado para o valor atualizado dos bens o mesmo valor histórico.</w:t>
            </w:r>
          </w:p>
          <w:p w:rsidR="009A2976" w:rsidRDefault="009A2976" w:rsidP="009A2976">
            <w:pPr>
              <w:widowControl/>
              <w:jc w:val="both"/>
              <w:rPr>
                <w:color w:val="000000"/>
              </w:rPr>
            </w:pPr>
            <w:r>
              <w:rPr>
                <w:color w:val="000000"/>
              </w:rPr>
              <w:t xml:space="preserve">Obs.3: os critérios utilizados para definição de valor histórico, valor atualizado e de mensuração do inventário, devem ser objeto de notas explicativas. </w:t>
            </w:r>
          </w:p>
          <w:p w:rsidR="009A2976" w:rsidRDefault="009A2976" w:rsidP="009A2976">
            <w:pPr>
              <w:widowControl/>
              <w:jc w:val="both"/>
            </w:pPr>
            <w:r>
              <w:rPr>
                <w:color w:val="000000"/>
              </w:rPr>
              <w:t xml:space="preserve">Obs.4: aplicam-se à presente norma, os conceitos adotados pela Secretaria do Tesouro Nacional – Manual de Contabilidade Aplicada ao Setor Público vigente.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lastRenderedPageBreak/>
              <w:t>Comissão para levantamento de bens patrimoniais</w:t>
            </w:r>
          </w:p>
        </w:tc>
      </w:tr>
      <w:tr w:rsidR="00AD562D" w:rsidTr="00324369">
        <w:trPr>
          <w:gridAfter w:val="1"/>
          <w:wAfter w:w="7" w:type="dxa"/>
          <w:trHeight w:val="465"/>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lastRenderedPageBreak/>
              <w:t>RESMOV</w:t>
            </w:r>
          </w:p>
        </w:tc>
        <w:tc>
          <w:tcPr>
            <w:tcW w:w="581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pPr>
              <w:widowControl/>
              <w:jc w:val="both"/>
            </w:pPr>
            <w:r>
              <w:rPr>
                <w:color w:val="000000"/>
              </w:rPr>
              <w:t>Resumo do inventário de b</w:t>
            </w:r>
            <w:r w:rsidR="009A2976">
              <w:rPr>
                <w:color w:val="000000"/>
              </w:rPr>
              <w:t>ens móveis, na forma do Anexo II</w:t>
            </w:r>
            <w:r w:rsidR="001F7062">
              <w:rPr>
                <w:color w:val="000000"/>
              </w:rPr>
              <w:t>, Tabela 10,</w:t>
            </w:r>
            <w:r>
              <w:rPr>
                <w:color w:val="000000"/>
              </w:rPr>
              <w:t xml:space="preserve"> desta instrução normativa.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342"/>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662"/>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DEMBMV</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Demonstrativo analítico das entradas e saídas de b</w:t>
            </w:r>
            <w:r w:rsidR="001F7062">
              <w:rPr>
                <w:color w:val="000000"/>
              </w:rPr>
              <w:t>ens móveis, na forma do Anexo II, Tabela 1,</w:t>
            </w:r>
            <w:r>
              <w:rPr>
                <w:color w:val="000000"/>
              </w:rPr>
              <w:t xml:space="preserve"> desta instrução normativa. </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502"/>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INVIMO</w:t>
            </w:r>
            <w:r w:rsidR="001F7062">
              <w:rPr>
                <w:color w:val="000000"/>
              </w:rPr>
              <w:t>S</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rsidP="001F7062">
            <w:pPr>
              <w:widowControl/>
              <w:jc w:val="both"/>
              <w:rPr>
                <w:color w:val="000000"/>
              </w:rPr>
            </w:pPr>
            <w:r>
              <w:rPr>
                <w:color w:val="000000"/>
              </w:rPr>
              <w:t xml:space="preserve">Inventário anual dos bens </w:t>
            </w:r>
            <w:r w:rsidR="001F7062">
              <w:rPr>
                <w:color w:val="000000"/>
              </w:rPr>
              <w:t>i</w:t>
            </w:r>
            <w:r>
              <w:rPr>
                <w:color w:val="000000"/>
              </w:rPr>
              <w:t>móveis</w:t>
            </w:r>
            <w:r w:rsidR="001F7062">
              <w:rPr>
                <w:color w:val="000000"/>
              </w:rPr>
              <w:t xml:space="preserve">, subdividido em bens de uso especial, bens dominiais, bens de uso comum do povo, bens imóveis em andamento e demais bens imóveis, contendo no mínimo as seguintes informações: </w:t>
            </w:r>
          </w:p>
          <w:p w:rsidR="001F7062" w:rsidRDefault="001F7062" w:rsidP="001F7062">
            <w:pPr>
              <w:widowControl/>
              <w:rPr>
                <w:color w:val="000000"/>
              </w:rPr>
            </w:pPr>
          </w:p>
          <w:p w:rsidR="001F7062" w:rsidRDefault="001F7062" w:rsidP="001F7062">
            <w:pPr>
              <w:widowControl/>
              <w:rPr>
                <w:color w:val="000000"/>
              </w:rPr>
            </w:pPr>
            <w:r>
              <w:rPr>
                <w:color w:val="000000"/>
              </w:rPr>
              <w:t>• Relação dos imóveis utilizados pelo Órgão ou Entidade, pertencentes ao Estado;</w:t>
            </w:r>
          </w:p>
          <w:p w:rsidR="001F7062" w:rsidRDefault="001F7062" w:rsidP="001F7062">
            <w:pPr>
              <w:widowControl/>
              <w:rPr>
                <w:color w:val="000000"/>
              </w:rPr>
            </w:pPr>
          </w:p>
          <w:p w:rsidR="001F7062" w:rsidRDefault="001F7062" w:rsidP="001F7062">
            <w:pPr>
              <w:widowControl/>
              <w:rPr>
                <w:color w:val="000000"/>
              </w:rPr>
            </w:pPr>
            <w:r>
              <w:rPr>
                <w:color w:val="000000"/>
              </w:rPr>
              <w:t>• Caracterização do imóvel ( número de registro, conforme certidão de matrícula ou certidão de ônus reais obtida no cartório de registro de imóveis; localização; área; estado de conservação; benfeitorias existentes, demais características)</w:t>
            </w:r>
          </w:p>
          <w:p w:rsidR="001F7062" w:rsidRDefault="001F7062" w:rsidP="001F7062">
            <w:pPr>
              <w:widowControl/>
              <w:rPr>
                <w:color w:val="000000"/>
              </w:rPr>
            </w:pPr>
          </w:p>
          <w:p w:rsidR="001F7062" w:rsidRDefault="001F7062" w:rsidP="001F7062">
            <w:pPr>
              <w:widowControl/>
              <w:rPr>
                <w:color w:val="000000"/>
              </w:rPr>
            </w:pPr>
            <w:r>
              <w:rPr>
                <w:color w:val="000000"/>
              </w:rPr>
              <w:t>• Data de aquisição/construção ou incorporação</w:t>
            </w:r>
          </w:p>
          <w:p w:rsidR="001F7062" w:rsidRDefault="001F7062" w:rsidP="001F7062">
            <w:pPr>
              <w:widowControl/>
              <w:rPr>
                <w:color w:val="000000"/>
              </w:rPr>
            </w:pPr>
          </w:p>
          <w:p w:rsidR="001F7062" w:rsidRDefault="001F7062" w:rsidP="001F7062">
            <w:pPr>
              <w:widowControl/>
              <w:rPr>
                <w:color w:val="000000"/>
              </w:rPr>
            </w:pPr>
            <w:r>
              <w:rPr>
                <w:color w:val="000000"/>
              </w:rPr>
              <w:t xml:space="preserve">• Valor histórico e valor atualizado </w:t>
            </w:r>
          </w:p>
          <w:p w:rsidR="001F7062" w:rsidRDefault="001F7062" w:rsidP="001F7062">
            <w:pPr>
              <w:widowControl/>
              <w:rPr>
                <w:color w:val="000000"/>
              </w:rPr>
            </w:pPr>
          </w:p>
          <w:p w:rsidR="001F7062" w:rsidRDefault="001F7062" w:rsidP="001F7062">
            <w:pPr>
              <w:widowControl/>
            </w:pPr>
            <w:r>
              <w:t>Obs.1: as colunas valor histórico e valor atualizado deve</w:t>
            </w:r>
            <w:r w:rsidR="00CD70A1">
              <w:t>m ser totalizadas.</w:t>
            </w:r>
          </w:p>
          <w:p w:rsidR="00CD70A1" w:rsidRDefault="00CD70A1" w:rsidP="00CD70A1">
            <w:pPr>
              <w:widowControl/>
            </w:pPr>
            <w:r>
              <w:t>Obs.2: durante o período de implementação dos procedimentos contábeis patrimoniais, cujos prazos foram estabelecidos pelas Resoluções TC 221/2010 e 242/2012, poderá ser informado para o valor atualizado dos bens o mesmo valor histórico.</w:t>
            </w:r>
          </w:p>
          <w:p w:rsidR="00CD70A1" w:rsidRDefault="00CD70A1" w:rsidP="00CD70A1">
            <w:pPr>
              <w:widowControl/>
            </w:pPr>
            <w:r>
              <w:t>Obs.3: os critérios atualizados para definição de valor histórico, valor atualizado e de mensuração do inventário, devem ser objeto de notas explicativas.</w:t>
            </w:r>
          </w:p>
          <w:p w:rsidR="00CD70A1" w:rsidRDefault="00CD70A1" w:rsidP="00CD70A1">
            <w:pPr>
              <w:widowControl/>
            </w:pPr>
            <w:r>
              <w:t xml:space="preserve">Obs.4: aplicam-se à presente norma, os conceitos adotados pela Secretaria do Tesouro Nacional em seu Manual de Contabilidade Aplicada ao Setor Público vigente.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726"/>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RESIMO</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Resumo do inventário de ben</w:t>
            </w:r>
            <w:r w:rsidR="00CD70A1">
              <w:rPr>
                <w:color w:val="000000"/>
              </w:rPr>
              <w:t xml:space="preserve">s imóveis, na forma do Anexo II, Tabela 12, desta </w:t>
            </w:r>
            <w:r>
              <w:rPr>
                <w:color w:val="000000"/>
              </w:rPr>
              <w:t xml:space="preserve">instrução normativa.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366"/>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DEMBIM</w:t>
            </w:r>
          </w:p>
        </w:tc>
        <w:tc>
          <w:tcPr>
            <w:tcW w:w="581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65" w:type="dxa"/>
            </w:tcMar>
            <w:vAlign w:val="center"/>
          </w:tcPr>
          <w:p w:rsidR="00AD562D" w:rsidRDefault="00AD562D" w:rsidP="00CD70A1">
            <w:pPr>
              <w:widowControl/>
              <w:jc w:val="both"/>
            </w:pPr>
            <w:r>
              <w:rPr>
                <w:color w:val="000000"/>
              </w:rPr>
              <w:t>Demonstrativo analítico das entradas e saídas de be</w:t>
            </w:r>
            <w:r w:rsidR="00CD70A1">
              <w:rPr>
                <w:color w:val="000000"/>
              </w:rPr>
              <w:t>ns imóveis, na forma do Anexo II, Tabela 13,</w:t>
            </w:r>
            <w:r>
              <w:rPr>
                <w:color w:val="000000"/>
              </w:rPr>
              <w:t xml:space="preserve"> desta instrução normativa.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357"/>
        </w:trPr>
        <w:tc>
          <w:tcPr>
            <w:tcW w:w="1428"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322"/>
        </w:trPr>
        <w:tc>
          <w:tcPr>
            <w:tcW w:w="1428"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INVALM</w:t>
            </w:r>
            <w:r w:rsidR="00CD70A1">
              <w:rPr>
                <w:color w:val="000000"/>
              </w:rPr>
              <w:t>O</w:t>
            </w:r>
          </w:p>
        </w:tc>
        <w:tc>
          <w:tcPr>
            <w:tcW w:w="5812" w:type="dxa"/>
            <w:tcBorders>
              <w:bottom w:val="single" w:sz="4" w:space="0" w:color="00000A"/>
              <w:right w:val="single" w:sz="4" w:space="0" w:color="00000A"/>
            </w:tcBorders>
            <w:shd w:val="clear" w:color="auto" w:fill="FFFFFF"/>
            <w:vAlign w:val="center"/>
          </w:tcPr>
          <w:p w:rsidR="00AD562D" w:rsidRDefault="00AD562D">
            <w:pPr>
              <w:widowControl/>
              <w:jc w:val="both"/>
              <w:rPr>
                <w:color w:val="000000"/>
              </w:rPr>
            </w:pPr>
            <w:r>
              <w:rPr>
                <w:color w:val="000000"/>
              </w:rPr>
              <w:t xml:space="preserve">Inventário </w:t>
            </w:r>
            <w:r w:rsidR="00CD70A1">
              <w:rPr>
                <w:color w:val="000000"/>
              </w:rPr>
              <w:t>anual dos bens em almoxarifado, contendo no mínimo as seguintes informações:</w:t>
            </w:r>
          </w:p>
          <w:p w:rsidR="00CD70A1" w:rsidRDefault="00CD70A1">
            <w:pPr>
              <w:widowControl/>
              <w:jc w:val="both"/>
              <w:rPr>
                <w:color w:val="000000"/>
              </w:rPr>
            </w:pPr>
            <w:r>
              <w:rPr>
                <w:color w:val="000000"/>
              </w:rPr>
              <w:lastRenderedPageBreak/>
              <w:t>• Descrição dos bens</w:t>
            </w:r>
          </w:p>
          <w:p w:rsidR="00CD70A1" w:rsidRDefault="00CD70A1">
            <w:pPr>
              <w:widowControl/>
              <w:jc w:val="both"/>
              <w:rPr>
                <w:color w:val="000000"/>
              </w:rPr>
            </w:pPr>
          </w:p>
          <w:p w:rsidR="00CD70A1" w:rsidRDefault="00CD70A1">
            <w:pPr>
              <w:widowControl/>
              <w:jc w:val="both"/>
              <w:rPr>
                <w:color w:val="000000"/>
              </w:rPr>
            </w:pPr>
            <w:r>
              <w:rPr>
                <w:color w:val="000000"/>
              </w:rPr>
              <w:t>• Quantidade</w:t>
            </w:r>
          </w:p>
          <w:p w:rsidR="00CD70A1" w:rsidRDefault="00CD70A1">
            <w:pPr>
              <w:widowControl/>
              <w:jc w:val="both"/>
              <w:rPr>
                <w:color w:val="000000"/>
              </w:rPr>
            </w:pPr>
          </w:p>
          <w:p w:rsidR="00CD70A1" w:rsidRDefault="00CD70A1">
            <w:pPr>
              <w:widowControl/>
              <w:jc w:val="both"/>
              <w:rPr>
                <w:color w:val="000000"/>
              </w:rPr>
            </w:pPr>
            <w:r>
              <w:rPr>
                <w:color w:val="000000"/>
              </w:rPr>
              <w:t>• Valor unitário</w:t>
            </w:r>
          </w:p>
          <w:p w:rsidR="00CD70A1" w:rsidRDefault="00CD70A1">
            <w:pPr>
              <w:widowControl/>
              <w:jc w:val="both"/>
              <w:rPr>
                <w:color w:val="000000"/>
              </w:rPr>
            </w:pPr>
          </w:p>
          <w:p w:rsidR="00CD70A1" w:rsidRDefault="00CD70A1">
            <w:pPr>
              <w:widowControl/>
              <w:jc w:val="both"/>
              <w:rPr>
                <w:color w:val="000000"/>
              </w:rPr>
            </w:pPr>
            <w:r>
              <w:rPr>
                <w:color w:val="000000"/>
              </w:rPr>
              <w:t>• Valor total</w:t>
            </w:r>
          </w:p>
          <w:p w:rsidR="00CD70A1" w:rsidRDefault="00CD70A1">
            <w:pPr>
              <w:widowControl/>
              <w:jc w:val="both"/>
            </w:pPr>
          </w:p>
          <w:p w:rsidR="00CD70A1" w:rsidRDefault="00CD70A1">
            <w:pPr>
              <w:widowControl/>
              <w:jc w:val="both"/>
            </w:pPr>
            <w:r>
              <w:t>Obs.: a coluna valor total deve ser totalizada.</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lastRenderedPageBreak/>
              <w:t xml:space="preserve">Comissão para levantamento de </w:t>
            </w:r>
            <w:r>
              <w:rPr>
                <w:color w:val="000000"/>
              </w:rPr>
              <w:lastRenderedPageBreak/>
              <w:t>bens patrimoniais</w:t>
            </w:r>
          </w:p>
        </w:tc>
      </w:tr>
      <w:tr w:rsidR="00AD562D" w:rsidTr="00324369">
        <w:trPr>
          <w:gridAfter w:val="1"/>
          <w:wAfter w:w="7" w:type="dxa"/>
          <w:trHeight w:val="255"/>
        </w:trPr>
        <w:tc>
          <w:tcPr>
            <w:tcW w:w="142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lastRenderedPageBreak/>
              <w:t>RESAMC</w:t>
            </w:r>
          </w:p>
        </w:tc>
        <w:tc>
          <w:tcPr>
            <w:tcW w:w="5812" w:type="dxa"/>
            <w:tcBorders>
              <w:top w:val="single" w:sz="4" w:space="0" w:color="00000A"/>
              <w:right w:val="single" w:sz="4" w:space="0" w:color="00000A"/>
            </w:tcBorders>
            <w:shd w:val="clear" w:color="auto" w:fill="FFFFFF"/>
            <w:vAlign w:val="center"/>
          </w:tcPr>
          <w:p w:rsidR="00AD562D" w:rsidRDefault="00CD70A1">
            <w:pPr>
              <w:widowControl/>
              <w:jc w:val="both"/>
            </w:pPr>
            <w:r>
              <w:rPr>
                <w:color w:val="000000"/>
              </w:rPr>
              <w:t>Resumo do inventário do almoxarifado - material de consumo, na forma do Anexo II, Tabela 14, desta instrução normativa.</w:t>
            </w:r>
          </w:p>
        </w:tc>
        <w:tc>
          <w:tcPr>
            <w:tcW w:w="1984"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806"/>
        </w:trPr>
        <w:tc>
          <w:tcPr>
            <w:tcW w:w="142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DEMAMC</w:t>
            </w:r>
          </w:p>
        </w:tc>
        <w:tc>
          <w:tcPr>
            <w:tcW w:w="5812" w:type="dxa"/>
            <w:tcBorders>
              <w:top w:val="single" w:sz="4" w:space="0" w:color="00000A"/>
              <w:right w:val="single" w:sz="4" w:space="0" w:color="00000A"/>
            </w:tcBorders>
            <w:shd w:val="clear" w:color="auto" w:fill="FFFFFF"/>
            <w:vAlign w:val="center"/>
          </w:tcPr>
          <w:p w:rsidR="00AD562D" w:rsidRDefault="00AD562D">
            <w:pPr>
              <w:widowControl/>
              <w:jc w:val="both"/>
            </w:pPr>
            <w:r>
              <w:rPr>
                <w:color w:val="000000"/>
              </w:rPr>
              <w:t>Demonstrativo analítico das entradas e sa</w:t>
            </w:r>
            <w:r w:rsidR="00CD70A1">
              <w:rPr>
                <w:color w:val="000000"/>
              </w:rPr>
              <w:t>ídas do almoxarifado - material</w:t>
            </w:r>
            <w:r>
              <w:rPr>
                <w:color w:val="000000"/>
              </w:rPr>
              <w:t xml:space="preserve"> </w:t>
            </w:r>
            <w:r w:rsidR="00CD70A1">
              <w:rPr>
                <w:color w:val="000000"/>
              </w:rPr>
              <w:t>de consumo, na forma do Anexo II, Tabela 15,</w:t>
            </w:r>
            <w:r>
              <w:rPr>
                <w:color w:val="000000"/>
              </w:rPr>
              <w:t xml:space="preserve"> desta instrução normativa.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900"/>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RESAMP</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rsidP="00047E44">
            <w:pPr>
              <w:widowControl/>
              <w:jc w:val="both"/>
            </w:pPr>
            <w:r>
              <w:rPr>
                <w:color w:val="000000"/>
              </w:rPr>
              <w:t xml:space="preserve">Resumo do inventário do almoxarifado - material permanente, na forma do Anexo </w:t>
            </w:r>
            <w:r w:rsidR="00047E44">
              <w:rPr>
                <w:color w:val="000000"/>
              </w:rPr>
              <w:t>II, Tabela 16,</w:t>
            </w:r>
            <w:r>
              <w:rPr>
                <w:color w:val="000000"/>
              </w:rPr>
              <w:t xml:space="preserve"> desta instrução normativa.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Comissão para levantamento de bens patrimoniais</w:t>
            </w:r>
          </w:p>
        </w:tc>
      </w:tr>
      <w:tr w:rsidR="00AD562D" w:rsidTr="00324369">
        <w:trPr>
          <w:gridAfter w:val="1"/>
          <w:wAfter w:w="7" w:type="dxa"/>
          <w:trHeight w:val="230"/>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D562D" w:rsidRDefault="00AD562D">
            <w:pPr>
              <w:widowControl/>
              <w:jc w:val="both"/>
            </w:pPr>
          </w:p>
        </w:tc>
      </w:tr>
      <w:tr w:rsidR="00AD562D" w:rsidTr="00324369">
        <w:trPr>
          <w:gridAfter w:val="1"/>
          <w:wAfter w:w="7" w:type="dxa"/>
          <w:trHeight w:val="930"/>
        </w:trPr>
        <w:tc>
          <w:tcPr>
            <w:tcW w:w="142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p>
          <w:p w:rsidR="00AD562D" w:rsidRDefault="00AD562D">
            <w:pPr>
              <w:widowControl/>
              <w:jc w:val="both"/>
            </w:pPr>
            <w:r>
              <w:rPr>
                <w:color w:val="000000"/>
              </w:rPr>
              <w:t>DEMAMP</w:t>
            </w:r>
          </w:p>
        </w:tc>
        <w:tc>
          <w:tcPr>
            <w:tcW w:w="5812" w:type="dxa"/>
            <w:tcBorders>
              <w:top w:val="single" w:sz="4" w:space="0" w:color="00000A"/>
              <w:right w:val="single" w:sz="4" w:space="0" w:color="00000A"/>
            </w:tcBorders>
            <w:shd w:val="clear" w:color="auto" w:fill="FFFFFF"/>
            <w:vAlign w:val="center"/>
          </w:tcPr>
          <w:p w:rsidR="00AD562D" w:rsidRDefault="00AD562D">
            <w:pPr>
              <w:widowControl/>
              <w:jc w:val="both"/>
            </w:pPr>
            <w:r>
              <w:rPr>
                <w:b/>
                <w:bCs/>
                <w:color w:val="000000"/>
              </w:rPr>
              <w:t> </w:t>
            </w:r>
          </w:p>
          <w:p w:rsidR="00AD562D" w:rsidRDefault="00AD562D" w:rsidP="00047E44">
            <w:pPr>
              <w:jc w:val="both"/>
            </w:pPr>
            <w:r>
              <w:rPr>
                <w:color w:val="000000"/>
              </w:rPr>
              <w:t>Demonstrativo analítico das entradas e sa</w:t>
            </w:r>
            <w:r w:rsidR="00047E44">
              <w:rPr>
                <w:color w:val="000000"/>
              </w:rPr>
              <w:t>ídas do almoxarifado - material permanente, na forma do Anexo II, Tabela 17,</w:t>
            </w:r>
            <w:r>
              <w:rPr>
                <w:color w:val="000000"/>
              </w:rPr>
              <w:t xml:space="preserve"> desta instrução normativa.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p>
          <w:p w:rsidR="00AD562D" w:rsidRDefault="00AD562D">
            <w:pPr>
              <w:widowControl/>
              <w:jc w:val="both"/>
            </w:pPr>
            <w:r>
              <w:rPr>
                <w:color w:val="000000"/>
              </w:rPr>
              <w:t>Comissão para levantamento de bens patrimoniais</w:t>
            </w:r>
          </w:p>
        </w:tc>
      </w:tr>
      <w:tr w:rsidR="00AD562D" w:rsidTr="00324369">
        <w:trPr>
          <w:gridAfter w:val="1"/>
          <w:wAfter w:w="7" w:type="dxa"/>
          <w:trHeight w:val="795"/>
        </w:trPr>
        <w:tc>
          <w:tcPr>
            <w:tcW w:w="1428" w:type="dxa"/>
            <w:tcBorders>
              <w:top w:val="single" w:sz="4" w:space="0" w:color="00000A"/>
              <w:bottom w:val="single" w:sz="4" w:space="0" w:color="00000A"/>
            </w:tcBorders>
            <w:shd w:val="clear" w:color="auto" w:fill="FFFFFF"/>
            <w:vAlign w:val="center"/>
          </w:tcPr>
          <w:p w:rsidR="00AD562D" w:rsidRDefault="00AD562D">
            <w:pPr>
              <w:widowControl/>
              <w:jc w:val="both"/>
            </w:pPr>
            <w:r>
              <w:rPr>
                <w:color w:val="000000"/>
              </w:rPr>
              <w:t>INVINT</w:t>
            </w:r>
            <w:r w:rsidR="00047E44">
              <w:rPr>
                <w:color w:val="000000"/>
              </w:rPr>
              <w:t>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rPr>
                <w:color w:val="000000"/>
              </w:rPr>
            </w:pPr>
            <w:r>
              <w:rPr>
                <w:color w:val="000000"/>
              </w:rPr>
              <w:t>Invent</w:t>
            </w:r>
            <w:r w:rsidR="00047E44">
              <w:rPr>
                <w:color w:val="000000"/>
              </w:rPr>
              <w:t>ário anual dos bens Intangíveis, contendo no mínimo as seguintes informações:</w:t>
            </w:r>
          </w:p>
          <w:p w:rsidR="00047E44" w:rsidRDefault="00047E44">
            <w:pPr>
              <w:widowControl/>
              <w:jc w:val="both"/>
              <w:rPr>
                <w:color w:val="000000"/>
              </w:rPr>
            </w:pPr>
          </w:p>
          <w:p w:rsidR="00047E44" w:rsidRDefault="00047E44">
            <w:pPr>
              <w:widowControl/>
              <w:jc w:val="both"/>
              <w:rPr>
                <w:color w:val="000000"/>
              </w:rPr>
            </w:pPr>
            <w:r>
              <w:rPr>
                <w:color w:val="000000"/>
              </w:rPr>
              <w:t xml:space="preserve">• Relação dos bens </w:t>
            </w:r>
          </w:p>
          <w:p w:rsidR="00047E44" w:rsidRDefault="00047E44">
            <w:pPr>
              <w:widowControl/>
              <w:jc w:val="both"/>
              <w:rPr>
                <w:color w:val="000000"/>
              </w:rPr>
            </w:pPr>
          </w:p>
          <w:p w:rsidR="00047E44" w:rsidRDefault="00047E44">
            <w:pPr>
              <w:widowControl/>
              <w:jc w:val="both"/>
              <w:rPr>
                <w:color w:val="000000"/>
              </w:rPr>
            </w:pPr>
            <w:r>
              <w:rPr>
                <w:color w:val="000000"/>
              </w:rPr>
              <w:t>• Caracterização (especificação resumida; número de registro de marca ou patente, caso exista, comprovado  mediante certidão de registro)</w:t>
            </w:r>
          </w:p>
          <w:p w:rsidR="00047E44" w:rsidRDefault="00047E44">
            <w:pPr>
              <w:widowControl/>
              <w:jc w:val="both"/>
              <w:rPr>
                <w:color w:val="000000"/>
              </w:rPr>
            </w:pPr>
          </w:p>
          <w:p w:rsidR="00047E44" w:rsidRDefault="00047E44">
            <w:pPr>
              <w:widowControl/>
              <w:jc w:val="both"/>
              <w:rPr>
                <w:color w:val="000000"/>
              </w:rPr>
            </w:pPr>
            <w:r>
              <w:rPr>
                <w:color w:val="000000"/>
              </w:rPr>
              <w:t>• Data de aquisição/produção/incorporação</w:t>
            </w:r>
          </w:p>
          <w:p w:rsidR="00047E44" w:rsidRDefault="00047E44">
            <w:pPr>
              <w:widowControl/>
              <w:jc w:val="both"/>
              <w:rPr>
                <w:color w:val="000000"/>
              </w:rPr>
            </w:pPr>
          </w:p>
          <w:p w:rsidR="00047E44" w:rsidRDefault="00047E44">
            <w:pPr>
              <w:widowControl/>
              <w:jc w:val="both"/>
              <w:rPr>
                <w:color w:val="000000"/>
              </w:rPr>
            </w:pPr>
            <w:r>
              <w:rPr>
                <w:color w:val="000000"/>
              </w:rPr>
              <w:t>• Valor histórico e valor atualizado</w:t>
            </w:r>
          </w:p>
          <w:p w:rsidR="00047E44" w:rsidRDefault="00047E44">
            <w:pPr>
              <w:widowControl/>
              <w:jc w:val="both"/>
              <w:rPr>
                <w:color w:val="000000"/>
              </w:rPr>
            </w:pPr>
          </w:p>
          <w:p w:rsidR="00047E44" w:rsidRDefault="00047E44" w:rsidP="00047E44">
            <w:pPr>
              <w:widowControl/>
            </w:pPr>
            <w:r>
              <w:t>Obs.1: as colunas valor histórico e valor atualizado devem ser totalizadas.</w:t>
            </w:r>
          </w:p>
          <w:p w:rsidR="00047E44" w:rsidRDefault="00047E44" w:rsidP="00047E44">
            <w:pPr>
              <w:widowControl/>
            </w:pPr>
            <w:r>
              <w:t>Obs.2: durante o período de implementação dos procedimentos contábeis patrimoniais, cujos prazos foram estabelecidos pelas Resoluções TC 221/2010 e 242/2012, poderá ser informado para o valor atualizado dos bens o mesmo valor histórico.</w:t>
            </w:r>
          </w:p>
          <w:p w:rsidR="00047E44" w:rsidRDefault="00047E44" w:rsidP="00047E44">
            <w:pPr>
              <w:widowControl/>
            </w:pPr>
            <w:r>
              <w:t>Obs.3: os critérios atualizados para definição de valor histórico, valor atualizado e de mensuração do inventário, devem ser objeto de notas explicativas.</w:t>
            </w:r>
          </w:p>
          <w:p w:rsidR="00047E44" w:rsidRPr="00047E44" w:rsidRDefault="00047E44" w:rsidP="00047E44">
            <w:pPr>
              <w:widowControl/>
              <w:jc w:val="both"/>
              <w:rPr>
                <w:color w:val="000000"/>
              </w:rPr>
            </w:pPr>
            <w:r>
              <w:t xml:space="preserve">Obs.4: aplicam-se à presente norma, os conceitos adotados pela Secretaria do Tesouro Nacional em seu Manual de Contabilidade Aplicada ao Setor Público vigente.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Secretaria de Tecnologia da Informação</w:t>
            </w:r>
          </w:p>
        </w:tc>
      </w:tr>
      <w:tr w:rsidR="00AD562D" w:rsidTr="00324369">
        <w:trPr>
          <w:gridAfter w:val="1"/>
          <w:wAfter w:w="7" w:type="dxa"/>
          <w:trHeight w:val="795"/>
        </w:trPr>
        <w:tc>
          <w:tcPr>
            <w:tcW w:w="1428" w:type="dxa"/>
            <w:tcBorders>
              <w:top w:val="single" w:sz="4" w:space="0" w:color="00000A"/>
              <w:bottom w:val="single" w:sz="4" w:space="0" w:color="00000A"/>
            </w:tcBorders>
            <w:shd w:val="clear" w:color="auto" w:fill="FFFFFF"/>
            <w:vAlign w:val="center"/>
          </w:tcPr>
          <w:p w:rsidR="00AD562D" w:rsidRDefault="00AD562D">
            <w:pPr>
              <w:widowControl/>
              <w:jc w:val="both"/>
            </w:pPr>
            <w:r>
              <w:rPr>
                <w:color w:val="000000"/>
              </w:rPr>
              <w:t>COMINV</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Ato de designação da comissão responsável pela elaboração dos inventários.</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Secretaria Geral</w:t>
            </w:r>
          </w:p>
        </w:tc>
      </w:tr>
      <w:tr w:rsidR="00AD562D" w:rsidTr="00324369">
        <w:trPr>
          <w:gridAfter w:val="1"/>
          <w:wAfter w:w="7" w:type="dxa"/>
          <w:trHeight w:val="2296"/>
        </w:trPr>
        <w:tc>
          <w:tcPr>
            <w:tcW w:w="1428" w:type="dxa"/>
            <w:tcBorders>
              <w:top w:val="single" w:sz="4" w:space="0" w:color="00000A"/>
              <w:bottom w:val="single" w:sz="4" w:space="0" w:color="00000A"/>
            </w:tcBorders>
            <w:shd w:val="clear" w:color="auto" w:fill="FFFFFF"/>
            <w:vAlign w:val="center"/>
          </w:tcPr>
          <w:p w:rsidR="00AD562D" w:rsidRDefault="00AD562D">
            <w:pPr>
              <w:widowControl/>
              <w:jc w:val="both"/>
            </w:pPr>
            <w:r>
              <w:rPr>
                <w:color w:val="000000"/>
              </w:rPr>
              <w:lastRenderedPageBreak/>
              <w:t>DEMRAP</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047E44">
            <w:pPr>
              <w:widowControl/>
              <w:jc w:val="both"/>
              <w:rPr>
                <w:color w:val="000000"/>
              </w:rPr>
            </w:pPr>
            <w:r>
              <w:rPr>
                <w:color w:val="000000"/>
              </w:rPr>
              <w:t>Demonstrativo de Restos a Pagar,</w:t>
            </w:r>
            <w:r w:rsidR="00AD562D">
              <w:rPr>
                <w:color w:val="000000"/>
              </w:rPr>
              <w:t xml:space="preserve"> evidenciando: </w:t>
            </w:r>
          </w:p>
          <w:p w:rsidR="00047E44" w:rsidRDefault="00047E44">
            <w:pPr>
              <w:widowControl/>
              <w:jc w:val="both"/>
            </w:pPr>
          </w:p>
          <w:p w:rsidR="00AD562D" w:rsidRDefault="00AD562D">
            <w:pPr>
              <w:widowControl/>
              <w:jc w:val="both"/>
              <w:rPr>
                <w:color w:val="000000"/>
              </w:rPr>
            </w:pPr>
            <w:r>
              <w:rPr>
                <w:color w:val="000000"/>
              </w:rPr>
              <w:t xml:space="preserve">• os saldos de restos a pagar de exercícios anteriores e os restos a pagar inscritos no exercício sob análise, discriminados em: processados e não processados, por exercício, por credor, por fonte de recursos, por função e subfunção;  </w:t>
            </w:r>
          </w:p>
          <w:p w:rsidR="00047E44" w:rsidRDefault="00047E44">
            <w:pPr>
              <w:widowControl/>
              <w:jc w:val="both"/>
            </w:pPr>
          </w:p>
          <w:p w:rsidR="00AD562D" w:rsidRDefault="00AD562D">
            <w:pPr>
              <w:widowControl/>
              <w:jc w:val="both"/>
            </w:pPr>
            <w:r>
              <w:rPr>
                <w:color w:val="000000"/>
              </w:rPr>
              <w:t xml:space="preserve">• os restos a pagar cancelados no exercício sob análise, discriminados em: processados e </w:t>
            </w:r>
            <w:r w:rsidR="00BD3B2B">
              <w:rPr>
                <w:color w:val="000000"/>
              </w:rPr>
              <w:t>não processados</w:t>
            </w:r>
            <w:r>
              <w:rPr>
                <w:color w:val="000000"/>
              </w:rPr>
              <w:t xml:space="preserve">, por exercício, por credor, por fonte de recursos, por função e subfunção; bem como cópia dos respectivos atos que autorizaram o cancelamento.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Execução Orçamentária e Financeira</w:t>
            </w:r>
          </w:p>
        </w:tc>
      </w:tr>
      <w:tr w:rsidR="00047E44" w:rsidTr="00324369">
        <w:trPr>
          <w:gridAfter w:val="1"/>
          <w:wAfter w:w="7" w:type="dxa"/>
          <w:trHeight w:val="531"/>
        </w:trPr>
        <w:tc>
          <w:tcPr>
            <w:tcW w:w="1428" w:type="dxa"/>
            <w:tcBorders>
              <w:top w:val="single" w:sz="4" w:space="0" w:color="00000A"/>
            </w:tcBorders>
            <w:shd w:val="clear" w:color="auto" w:fill="FFFFFF"/>
            <w:vAlign w:val="center"/>
          </w:tcPr>
          <w:p w:rsidR="00047E44" w:rsidRDefault="00047E44">
            <w:pPr>
              <w:widowControl/>
              <w:jc w:val="both"/>
              <w:rPr>
                <w:color w:val="000000"/>
              </w:rPr>
            </w:pPr>
            <w:r>
              <w:rPr>
                <w:color w:val="000000"/>
              </w:rPr>
              <w:t>EXTBAN</w:t>
            </w:r>
          </w:p>
          <w:p w:rsidR="00047E44" w:rsidRDefault="00047E44">
            <w:pPr>
              <w:widowControl/>
              <w:jc w:val="both"/>
            </w:pPr>
            <w:r>
              <w:rPr>
                <w:color w:val="000000"/>
              </w:rPr>
              <w:t>(ANEXO F)</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047E44" w:rsidRDefault="00047E44">
            <w:pPr>
              <w:widowControl/>
              <w:jc w:val="both"/>
            </w:pPr>
            <w:r>
              <w:rPr>
                <w:color w:val="000000"/>
              </w:rPr>
              <w:t xml:space="preserve">Extratos bancários relativos ao mês de encerramento do exercício. </w:t>
            </w:r>
          </w:p>
        </w:tc>
        <w:tc>
          <w:tcPr>
            <w:tcW w:w="1984" w:type="dxa"/>
            <w:vMerge w:val="restart"/>
            <w:tcBorders>
              <w:top w:val="single" w:sz="4" w:space="0" w:color="00000A"/>
              <w:right w:val="single" w:sz="4" w:space="0" w:color="00000A"/>
            </w:tcBorders>
            <w:shd w:val="clear" w:color="auto" w:fill="FFFFFF"/>
            <w:vAlign w:val="center"/>
          </w:tcPr>
          <w:p w:rsidR="00047E44" w:rsidRDefault="00047E44">
            <w:pPr>
              <w:widowControl/>
              <w:jc w:val="both"/>
            </w:pPr>
            <w:r>
              <w:rPr>
                <w:color w:val="000000"/>
              </w:rPr>
              <w:t>Coordenadoria de Contabilidade</w:t>
            </w:r>
          </w:p>
        </w:tc>
      </w:tr>
      <w:tr w:rsidR="00047E44" w:rsidTr="00324369">
        <w:trPr>
          <w:gridAfter w:val="1"/>
          <w:wAfter w:w="7" w:type="dxa"/>
          <w:trHeight w:val="531"/>
        </w:trPr>
        <w:tc>
          <w:tcPr>
            <w:tcW w:w="1428" w:type="dxa"/>
            <w:tcBorders>
              <w:bottom w:val="single" w:sz="4" w:space="0" w:color="00000A"/>
            </w:tcBorders>
            <w:shd w:val="clear" w:color="auto" w:fill="FFFFFF"/>
            <w:vAlign w:val="center"/>
          </w:tcPr>
          <w:p w:rsidR="00047E44" w:rsidRDefault="00047E44">
            <w:pPr>
              <w:widowControl/>
              <w:jc w:val="both"/>
              <w:rPr>
                <w:color w:val="000000"/>
              </w:rPr>
            </w:pPr>
            <w:r>
              <w:rPr>
                <w:color w:val="000000"/>
              </w:rPr>
              <w:t>EXTBAN</w:t>
            </w:r>
          </w:p>
          <w:p w:rsidR="00047E44" w:rsidRDefault="00047E44">
            <w:pPr>
              <w:widowControl/>
              <w:jc w:val="both"/>
              <w:rPr>
                <w:color w:val="000000"/>
              </w:rPr>
            </w:pPr>
            <w:r>
              <w:rPr>
                <w:color w:val="000000"/>
              </w:rPr>
              <w:t>(ANEXO G)</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047E44" w:rsidRDefault="00047E44">
            <w:pPr>
              <w:widowControl/>
              <w:jc w:val="both"/>
              <w:rPr>
                <w:color w:val="000000"/>
              </w:rPr>
            </w:pPr>
            <w:r>
              <w:rPr>
                <w:color w:val="000000"/>
              </w:rPr>
              <w:t xml:space="preserve">Extratos bancários de janeiro a dezembro, que fazem a movimentação dos depósitos e pagamentos </w:t>
            </w:r>
            <w:r w:rsidR="00BD3B2B">
              <w:rPr>
                <w:color w:val="000000"/>
              </w:rPr>
              <w:t>de precatórios.</w:t>
            </w:r>
          </w:p>
        </w:tc>
        <w:tc>
          <w:tcPr>
            <w:tcW w:w="1984" w:type="dxa"/>
            <w:vMerge/>
            <w:tcBorders>
              <w:bottom w:val="single" w:sz="4" w:space="0" w:color="00000A"/>
              <w:right w:val="single" w:sz="4" w:space="0" w:color="00000A"/>
            </w:tcBorders>
            <w:shd w:val="clear" w:color="auto" w:fill="FFFFFF"/>
            <w:vAlign w:val="center"/>
          </w:tcPr>
          <w:p w:rsidR="00047E44" w:rsidRDefault="00047E44">
            <w:pPr>
              <w:widowControl/>
              <w:jc w:val="both"/>
              <w:rPr>
                <w:color w:val="000000"/>
              </w:rPr>
            </w:pPr>
          </w:p>
        </w:tc>
      </w:tr>
      <w:tr w:rsidR="00AD562D" w:rsidTr="00324369">
        <w:trPr>
          <w:gridAfter w:val="1"/>
          <w:wAfter w:w="7" w:type="dxa"/>
          <w:trHeight w:val="576"/>
        </w:trPr>
        <w:tc>
          <w:tcPr>
            <w:tcW w:w="1428" w:type="dxa"/>
            <w:tcBorders>
              <w:top w:val="single" w:sz="4" w:space="0" w:color="00000A"/>
              <w:bottom w:val="single" w:sz="4" w:space="0" w:color="00000A"/>
            </w:tcBorders>
            <w:shd w:val="clear" w:color="auto" w:fill="FFFFFF"/>
            <w:vAlign w:val="center"/>
          </w:tcPr>
          <w:p w:rsidR="00AD562D" w:rsidRDefault="00AD562D">
            <w:pPr>
              <w:widowControl/>
              <w:jc w:val="both"/>
            </w:pPr>
            <w:r>
              <w:rPr>
                <w:color w:val="000000"/>
              </w:rPr>
              <w:t>TVDISP</w:t>
            </w:r>
            <w:r w:rsidR="00BD3B2B">
              <w:rPr>
                <w:color w:val="000000"/>
              </w:rPr>
              <w:t>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rsidP="00BD3B2B">
            <w:pPr>
              <w:widowControl/>
              <w:jc w:val="both"/>
            </w:pPr>
            <w:r>
              <w:rPr>
                <w:color w:val="000000"/>
              </w:rPr>
              <w:t>Termo de verificação de dispo</w:t>
            </w:r>
            <w:r w:rsidR="00BD3B2B">
              <w:rPr>
                <w:color w:val="000000"/>
              </w:rPr>
              <w:t>nibilidades, na forma do Anexo II, Tabela 18, desta Instrução N</w:t>
            </w:r>
            <w:r>
              <w:rPr>
                <w:color w:val="000000"/>
              </w:rPr>
              <w:t xml:space="preserve">ormativa. </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Contabilidade</w:t>
            </w:r>
          </w:p>
        </w:tc>
      </w:tr>
      <w:tr w:rsidR="00AD562D" w:rsidTr="00324369">
        <w:trPr>
          <w:gridAfter w:val="1"/>
          <w:wAfter w:w="7" w:type="dxa"/>
          <w:trHeight w:val="1259"/>
        </w:trPr>
        <w:tc>
          <w:tcPr>
            <w:tcW w:w="1428" w:type="dxa"/>
            <w:tcBorders>
              <w:left w:val="single" w:sz="4" w:space="0" w:color="00000A"/>
              <w:bottom w:val="single" w:sz="4" w:space="0" w:color="00000A"/>
            </w:tcBorders>
            <w:shd w:val="clear" w:color="auto" w:fill="FFFFFF"/>
            <w:tcMar>
              <w:left w:w="65" w:type="dxa"/>
            </w:tcMar>
            <w:vAlign w:val="center"/>
          </w:tcPr>
          <w:p w:rsidR="00AD562D" w:rsidRDefault="00AD562D">
            <w:pPr>
              <w:widowControl/>
              <w:jc w:val="both"/>
            </w:pPr>
            <w:r>
              <w:rPr>
                <w:color w:val="000000"/>
              </w:rPr>
              <w:t>FOLRPP</w:t>
            </w:r>
            <w:r w:rsidR="00BD3B2B">
              <w:rPr>
                <w:color w:val="000000"/>
              </w:rPr>
              <w:t>S</w:t>
            </w:r>
          </w:p>
        </w:tc>
        <w:tc>
          <w:tcPr>
            <w:tcW w:w="5812"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rsidP="00BD3B2B">
            <w:pPr>
              <w:widowControl/>
              <w:jc w:val="both"/>
            </w:pPr>
            <w:r>
              <w:rPr>
                <w:color w:val="000000"/>
              </w:rPr>
              <w:t xml:space="preserve">Resumo anual da folha de pagamento do exercício financeiro, dos servidores vinculados ao Regime Próprio de Previdência Social (RPPS), </w:t>
            </w:r>
            <w:r w:rsidR="00BD3B2B">
              <w:rPr>
                <w:color w:val="000000"/>
              </w:rPr>
              <w:t>na forma do Anexo II, Tabela 21, desta Instrução Normativa.</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Pagamento de Pessoal</w:t>
            </w:r>
          </w:p>
        </w:tc>
      </w:tr>
      <w:tr w:rsidR="00AD562D" w:rsidTr="00324369">
        <w:trPr>
          <w:gridAfter w:val="1"/>
          <w:wAfter w:w="7" w:type="dxa"/>
          <w:trHeight w:val="960"/>
        </w:trPr>
        <w:tc>
          <w:tcPr>
            <w:tcW w:w="1428" w:type="dxa"/>
            <w:tcBorders>
              <w:left w:val="single" w:sz="4" w:space="0" w:color="00000A"/>
              <w:bottom w:val="single" w:sz="4" w:space="0" w:color="00000A"/>
            </w:tcBorders>
            <w:shd w:val="clear" w:color="auto" w:fill="FFFFFF"/>
            <w:tcMar>
              <w:left w:w="65" w:type="dxa"/>
            </w:tcMar>
            <w:vAlign w:val="center"/>
          </w:tcPr>
          <w:p w:rsidR="00AD562D" w:rsidRDefault="00AD562D">
            <w:pPr>
              <w:widowControl/>
              <w:jc w:val="both"/>
            </w:pPr>
            <w:r>
              <w:rPr>
                <w:color w:val="000000"/>
              </w:rPr>
              <w:t>FOLRGP</w:t>
            </w:r>
            <w:r w:rsidR="00BD3B2B">
              <w:rPr>
                <w:color w:val="000000"/>
              </w:rPr>
              <w:t>S</w:t>
            </w:r>
          </w:p>
        </w:tc>
        <w:tc>
          <w:tcPr>
            <w:tcW w:w="5812"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rsidP="00BD3B2B">
            <w:pPr>
              <w:widowControl/>
              <w:jc w:val="both"/>
            </w:pPr>
            <w:r>
              <w:rPr>
                <w:color w:val="000000"/>
              </w:rPr>
              <w:t>Resumo anual da folha de pagamento do exercício financeiro, dos servidores vinculados ao Regime Geral</w:t>
            </w:r>
            <w:r w:rsidR="00BD3B2B">
              <w:rPr>
                <w:color w:val="000000"/>
              </w:rPr>
              <w:t xml:space="preserve"> de Previdência Social (RGPS), na forma do Anexo II, Tabela 22, desta Instrução Normativa.</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Pagamento de Pessoal</w:t>
            </w:r>
          </w:p>
        </w:tc>
      </w:tr>
      <w:tr w:rsidR="00AD562D" w:rsidTr="00324369">
        <w:trPr>
          <w:gridAfter w:val="1"/>
          <w:wAfter w:w="7" w:type="dxa"/>
          <w:trHeight w:val="988"/>
        </w:trPr>
        <w:tc>
          <w:tcPr>
            <w:tcW w:w="1428" w:type="dxa"/>
            <w:tcBorders>
              <w:left w:val="single" w:sz="4" w:space="0" w:color="00000A"/>
              <w:bottom w:val="single" w:sz="4" w:space="0" w:color="00000A"/>
            </w:tcBorders>
            <w:shd w:val="clear" w:color="auto" w:fill="FFFFFF"/>
            <w:tcMar>
              <w:left w:w="65" w:type="dxa"/>
            </w:tcMar>
            <w:vAlign w:val="center"/>
          </w:tcPr>
          <w:p w:rsidR="00AD562D" w:rsidRDefault="00AD562D">
            <w:pPr>
              <w:widowControl/>
              <w:jc w:val="both"/>
            </w:pPr>
            <w:r>
              <w:rPr>
                <w:color w:val="000000"/>
              </w:rPr>
              <w:t>DEMCPA</w:t>
            </w:r>
          </w:p>
        </w:tc>
        <w:tc>
          <w:tcPr>
            <w:tcW w:w="5812"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Demonstrativo evidenciando, mensalmente, o valor da despesa liquidada e efetivamente recolhida de contribuições sociais patronais, discriminando por instituição previdenciária (RPPS e RGPS)</w:t>
            </w:r>
            <w:r w:rsidR="00BD3B2B">
              <w:rPr>
                <w:color w:val="000000"/>
              </w:rPr>
              <w:t>, na forma do Anexo II, Tabela 23, desta Instrução Normativa</w:t>
            </w:r>
            <w:r>
              <w:rPr>
                <w:color w:val="000000"/>
              </w:rPr>
              <w:t>.</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Execução Orçamentária e Financeira</w:t>
            </w:r>
          </w:p>
        </w:tc>
      </w:tr>
      <w:tr w:rsidR="00AD562D" w:rsidTr="00324369">
        <w:trPr>
          <w:gridAfter w:val="1"/>
          <w:wAfter w:w="7" w:type="dxa"/>
          <w:trHeight w:val="973"/>
        </w:trPr>
        <w:tc>
          <w:tcPr>
            <w:tcW w:w="1428" w:type="dxa"/>
            <w:tcBorders>
              <w:left w:val="single" w:sz="4" w:space="0" w:color="00000A"/>
              <w:bottom w:val="single" w:sz="4" w:space="0" w:color="00000A"/>
            </w:tcBorders>
            <w:shd w:val="clear" w:color="auto" w:fill="FFFFFF"/>
            <w:tcMar>
              <w:left w:w="65" w:type="dxa"/>
            </w:tcMar>
            <w:vAlign w:val="center"/>
          </w:tcPr>
          <w:p w:rsidR="00AD562D" w:rsidRDefault="00AD562D">
            <w:pPr>
              <w:widowControl/>
              <w:jc w:val="both"/>
            </w:pPr>
            <w:r>
              <w:rPr>
                <w:color w:val="000000"/>
              </w:rPr>
              <w:t>DEMCSE</w:t>
            </w:r>
          </w:p>
        </w:tc>
        <w:tc>
          <w:tcPr>
            <w:tcW w:w="5812"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Demonstrativo evidenciando, mensalmente, o valor retido de contribuições sociais dos servidores e efetivamente recolhidos, discriminando por instituição previdenciária (RPPS e RGPS)</w:t>
            </w:r>
            <w:r w:rsidR="00BD3B2B">
              <w:rPr>
                <w:color w:val="000000"/>
              </w:rPr>
              <w:t>, na forma do Anexo II, Tabela 24, desta Instrução Normativa.</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Execução Orçamentária e Financeira</w:t>
            </w:r>
          </w:p>
        </w:tc>
      </w:tr>
      <w:tr w:rsidR="00AD562D" w:rsidTr="00324369">
        <w:trPr>
          <w:gridAfter w:val="1"/>
          <w:wAfter w:w="7" w:type="dxa"/>
          <w:trHeight w:val="778"/>
        </w:trPr>
        <w:tc>
          <w:tcPr>
            <w:tcW w:w="1428" w:type="dxa"/>
            <w:tcBorders>
              <w:left w:val="single" w:sz="4" w:space="0" w:color="00000A"/>
              <w:bottom w:val="single" w:sz="4" w:space="0" w:color="00000A"/>
            </w:tcBorders>
            <w:shd w:val="clear" w:color="auto" w:fill="FFFFFF"/>
            <w:tcMar>
              <w:left w:w="65" w:type="dxa"/>
            </w:tcMar>
            <w:vAlign w:val="center"/>
          </w:tcPr>
          <w:p w:rsidR="00AD562D" w:rsidRDefault="00AD562D">
            <w:pPr>
              <w:widowControl/>
              <w:jc w:val="both"/>
            </w:pPr>
            <w:r>
              <w:rPr>
                <w:color w:val="000000"/>
              </w:rPr>
              <w:t>CERSIT</w:t>
            </w:r>
          </w:p>
        </w:tc>
        <w:tc>
          <w:tcPr>
            <w:tcW w:w="5812" w:type="dxa"/>
            <w:tcBorders>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Certificado de Regularidade de Situação - CRS (art. 69 da LC Estadual nº 282/2004) .</w:t>
            </w:r>
          </w:p>
        </w:tc>
        <w:tc>
          <w:tcPr>
            <w:tcW w:w="1984" w:type="dxa"/>
            <w:tcBorders>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Contabilidade</w:t>
            </w:r>
          </w:p>
        </w:tc>
      </w:tr>
      <w:tr w:rsidR="00AD562D" w:rsidTr="00324369">
        <w:trPr>
          <w:gridAfter w:val="1"/>
          <w:wAfter w:w="7" w:type="dxa"/>
          <w:trHeight w:val="664"/>
        </w:trPr>
        <w:tc>
          <w:tcPr>
            <w:tcW w:w="1428"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FIXSUB</w:t>
            </w:r>
          </w:p>
        </w:tc>
        <w:tc>
          <w:tcPr>
            <w:tcW w:w="5812"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Instrumento normativo fixador dos subsídios do Chefe do Poder para o exercício a que se refere a prestação de contas e leis que concederam revisões gerais anuais nesse período.</w:t>
            </w:r>
          </w:p>
        </w:tc>
        <w:tc>
          <w:tcPr>
            <w:tcW w:w="1984" w:type="dxa"/>
            <w:tcBorders>
              <w:top w:val="single" w:sz="4" w:space="0" w:color="00000A"/>
              <w:bottom w:val="single" w:sz="4" w:space="0" w:color="00000A"/>
              <w:right w:val="single" w:sz="4" w:space="0" w:color="00000A"/>
            </w:tcBorders>
            <w:shd w:val="clear" w:color="auto" w:fill="FFFFFF"/>
            <w:vAlign w:val="center"/>
          </w:tcPr>
          <w:p w:rsidR="00AD562D" w:rsidRDefault="00AD562D">
            <w:pPr>
              <w:widowControl/>
              <w:jc w:val="both"/>
            </w:pPr>
            <w:r>
              <w:rPr>
                <w:color w:val="000000"/>
              </w:rPr>
              <w:t>Coordenadoria de Pagamento de Pessoal</w:t>
            </w:r>
          </w:p>
        </w:tc>
      </w:tr>
      <w:tr w:rsidR="00AD562D" w:rsidTr="00324369">
        <w:trPr>
          <w:gridAfter w:val="1"/>
          <w:wAfter w:w="7" w:type="dxa"/>
          <w:trHeight w:val="1215"/>
        </w:trPr>
        <w:tc>
          <w:tcPr>
            <w:tcW w:w="142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FICPAG</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Fichas financeiras evidenciando os pagamentos de subsídios ao Chefe do Poder no exercício a que se refere a prestação de contas</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AD562D" w:rsidRDefault="00AD562D">
            <w:pPr>
              <w:widowControl/>
              <w:jc w:val="both"/>
            </w:pPr>
            <w:r>
              <w:rPr>
                <w:color w:val="000000"/>
              </w:rPr>
              <w:t>Coordenadoria de Pagamento de Pessoal</w:t>
            </w:r>
          </w:p>
        </w:tc>
      </w:tr>
      <w:tr w:rsidR="00BD3B2B" w:rsidTr="00324369">
        <w:trPr>
          <w:trHeight w:val="1655"/>
        </w:trPr>
        <w:tc>
          <w:tcPr>
            <w:tcW w:w="1428" w:type="dxa"/>
            <w:tcBorders>
              <w:top w:val="single" w:sz="4" w:space="0" w:color="00000A"/>
              <w:bottom w:val="single" w:sz="4" w:space="0" w:color="00000A"/>
              <w:right w:val="single" w:sz="4" w:space="0" w:color="00000A"/>
            </w:tcBorders>
            <w:shd w:val="clear" w:color="auto" w:fill="FFFFFF"/>
          </w:tcPr>
          <w:p w:rsidR="00324369" w:rsidRDefault="00324369" w:rsidP="00324369">
            <w:pPr>
              <w:widowControl/>
              <w:rPr>
                <w:color w:val="000000"/>
              </w:rPr>
            </w:pPr>
          </w:p>
          <w:p w:rsidR="00324369" w:rsidRDefault="00324369" w:rsidP="00324369">
            <w:pPr>
              <w:widowControl/>
              <w:rPr>
                <w:color w:val="000000"/>
              </w:rPr>
            </w:pPr>
          </w:p>
          <w:p w:rsidR="00324369" w:rsidRDefault="00324369" w:rsidP="00324369">
            <w:pPr>
              <w:widowControl/>
              <w:rPr>
                <w:color w:val="000000"/>
              </w:rPr>
            </w:pPr>
          </w:p>
          <w:p w:rsidR="00BD3B2B" w:rsidRDefault="00324369" w:rsidP="00324369">
            <w:pPr>
              <w:widowControl/>
              <w:rPr>
                <w:color w:val="000000"/>
              </w:rPr>
            </w:pPr>
            <w:r>
              <w:rPr>
                <w:color w:val="000000"/>
              </w:rPr>
              <w:t>DEMPES</w:t>
            </w:r>
          </w:p>
        </w:tc>
        <w:tc>
          <w:tcPr>
            <w:tcW w:w="5812" w:type="dxa"/>
            <w:tcBorders>
              <w:top w:val="single" w:sz="4" w:space="0" w:color="00000A"/>
              <w:bottom w:val="single" w:sz="4" w:space="0" w:color="00000A"/>
              <w:right w:val="single" w:sz="4" w:space="0" w:color="00000A"/>
            </w:tcBorders>
            <w:shd w:val="clear" w:color="auto" w:fill="FFFFFF"/>
            <w:vAlign w:val="center"/>
          </w:tcPr>
          <w:p w:rsidR="00BD3B2B" w:rsidRDefault="00BD3B2B">
            <w:pPr>
              <w:widowControl/>
              <w:jc w:val="both"/>
            </w:pPr>
            <w:r>
              <w:rPr>
                <w:color w:val="000000"/>
              </w:rPr>
              <w:t>Relatório de Gestão Fiscal - Demonstrativo da Despesa com Pessoal (ANEXO 1 do Manual de Demonstrativos Fiscais editado pela STN), relativo ao terceiro quadrimestre ou segundo semestre do exercício a que  se refere a prestação de contas, devidamente assinado pelas autoridades definidas no parágrafo único do artigo 54, da LC 101/2000.</w:t>
            </w:r>
          </w:p>
        </w:tc>
        <w:tc>
          <w:tcPr>
            <w:tcW w:w="1991" w:type="dxa"/>
            <w:gridSpan w:val="2"/>
            <w:tcBorders>
              <w:top w:val="single" w:sz="4" w:space="0" w:color="00000A"/>
              <w:bottom w:val="single" w:sz="4" w:space="0" w:color="00000A"/>
              <w:right w:val="single" w:sz="4" w:space="0" w:color="00000A"/>
            </w:tcBorders>
            <w:shd w:val="clear" w:color="auto" w:fill="FFFFFF"/>
            <w:vAlign w:val="center"/>
          </w:tcPr>
          <w:p w:rsidR="00BD3B2B" w:rsidRDefault="00BD3B2B">
            <w:pPr>
              <w:widowControl/>
              <w:jc w:val="both"/>
            </w:pPr>
            <w:r>
              <w:rPr>
                <w:color w:val="000000"/>
              </w:rPr>
              <w:t>Coordenadoria de Contabilidade</w:t>
            </w:r>
          </w:p>
        </w:tc>
      </w:tr>
      <w:tr w:rsidR="00324369" w:rsidTr="00324369">
        <w:trPr>
          <w:gridAfter w:val="1"/>
          <w:wAfter w:w="7" w:type="dxa"/>
          <w:trHeight w:val="1409"/>
        </w:trPr>
        <w:tc>
          <w:tcPr>
            <w:tcW w:w="1428" w:type="dxa"/>
            <w:tcBorders>
              <w:top w:val="single" w:sz="4" w:space="0" w:color="00000A"/>
              <w:bottom w:val="single" w:sz="4" w:space="0" w:color="00000A"/>
              <w:right w:val="single" w:sz="4" w:space="0" w:color="00000A"/>
            </w:tcBorders>
            <w:shd w:val="clear" w:color="auto" w:fill="FFFFFF"/>
          </w:tcPr>
          <w:p w:rsidR="00324369" w:rsidRDefault="00324369">
            <w:pPr>
              <w:widowControl/>
              <w:jc w:val="both"/>
              <w:rPr>
                <w:color w:val="000000"/>
              </w:rPr>
            </w:pPr>
          </w:p>
          <w:p w:rsidR="00324369" w:rsidRDefault="00324369">
            <w:pPr>
              <w:widowControl/>
              <w:jc w:val="both"/>
              <w:rPr>
                <w:color w:val="000000"/>
              </w:rPr>
            </w:pPr>
          </w:p>
          <w:p w:rsidR="00324369" w:rsidRDefault="00324369">
            <w:pPr>
              <w:widowControl/>
              <w:jc w:val="both"/>
              <w:rPr>
                <w:color w:val="000000"/>
              </w:rPr>
            </w:pPr>
            <w:r>
              <w:rPr>
                <w:color w:val="000000"/>
              </w:rPr>
              <w:t>DEMDCA</w:t>
            </w:r>
          </w:p>
        </w:tc>
        <w:tc>
          <w:tcPr>
            <w:tcW w:w="5812" w:type="dxa"/>
            <w:tcBorders>
              <w:top w:val="single" w:sz="4" w:space="0" w:color="00000A"/>
              <w:bottom w:val="single" w:sz="4" w:space="0" w:color="00000A"/>
              <w:right w:val="single" w:sz="4" w:space="0" w:color="00000A"/>
            </w:tcBorders>
            <w:shd w:val="clear" w:color="auto" w:fill="FFFFFF"/>
            <w:vAlign w:val="center"/>
          </w:tcPr>
          <w:p w:rsidR="00324369" w:rsidRDefault="00324369">
            <w:pPr>
              <w:widowControl/>
              <w:jc w:val="both"/>
            </w:pPr>
            <w:r>
              <w:rPr>
                <w:color w:val="000000"/>
              </w:rPr>
              <w:t xml:space="preserve">Relatório de Gestão Fiscal - Demonstrativo da Disponibilidade de Caixa (ANEXO 5 do Manual de Demonstrativos Fiscais editado pela STN), relativo ao terceiro quadrimestre ou segundo semestre do exercício a que  se refere a prestação de contas, devidamente assinado pelas autoridades definidas no parágrafo único do artigo 54, da LC 101/2000. </w:t>
            </w:r>
          </w:p>
        </w:tc>
        <w:tc>
          <w:tcPr>
            <w:tcW w:w="1984" w:type="dxa"/>
            <w:tcBorders>
              <w:top w:val="single" w:sz="4" w:space="0" w:color="00000A"/>
              <w:bottom w:val="single" w:sz="4" w:space="0" w:color="00000A"/>
              <w:right w:val="single" w:sz="4" w:space="0" w:color="00000A"/>
            </w:tcBorders>
            <w:shd w:val="clear" w:color="auto" w:fill="FFFFFF"/>
            <w:vAlign w:val="center"/>
          </w:tcPr>
          <w:p w:rsidR="00324369" w:rsidRDefault="00324369">
            <w:pPr>
              <w:widowControl/>
              <w:jc w:val="both"/>
            </w:pPr>
            <w:r>
              <w:rPr>
                <w:color w:val="000000"/>
              </w:rPr>
              <w:t>Coordenadoria de Contabilidade</w:t>
            </w:r>
          </w:p>
        </w:tc>
      </w:tr>
      <w:tr w:rsidR="00324369" w:rsidTr="00324369">
        <w:trPr>
          <w:gridAfter w:val="1"/>
          <w:wAfter w:w="7" w:type="dxa"/>
          <w:trHeight w:val="1415"/>
        </w:trPr>
        <w:tc>
          <w:tcPr>
            <w:tcW w:w="1428" w:type="dxa"/>
            <w:tcBorders>
              <w:left w:val="single" w:sz="4" w:space="0" w:color="00000A"/>
              <w:right w:val="single" w:sz="4" w:space="0" w:color="00000A"/>
            </w:tcBorders>
            <w:shd w:val="clear" w:color="auto" w:fill="FFFFFF"/>
          </w:tcPr>
          <w:p w:rsidR="00324369" w:rsidRDefault="00324369">
            <w:pPr>
              <w:widowControl/>
              <w:jc w:val="both"/>
              <w:rPr>
                <w:color w:val="000000"/>
              </w:rPr>
            </w:pPr>
          </w:p>
          <w:p w:rsidR="00324369" w:rsidRDefault="00324369">
            <w:pPr>
              <w:widowControl/>
              <w:jc w:val="both"/>
              <w:rPr>
                <w:color w:val="000000"/>
              </w:rPr>
            </w:pPr>
          </w:p>
          <w:p w:rsidR="00324369" w:rsidRDefault="00324369">
            <w:pPr>
              <w:widowControl/>
              <w:jc w:val="both"/>
              <w:rPr>
                <w:color w:val="000000"/>
              </w:rPr>
            </w:pPr>
            <w:r>
              <w:rPr>
                <w:color w:val="000000"/>
              </w:rPr>
              <w:t>DEMRPA</w:t>
            </w:r>
          </w:p>
        </w:tc>
        <w:tc>
          <w:tcPr>
            <w:tcW w:w="5812" w:type="dxa"/>
            <w:tcBorders>
              <w:left w:val="single" w:sz="4" w:space="0" w:color="00000A"/>
              <w:right w:val="single" w:sz="4" w:space="0" w:color="00000A"/>
            </w:tcBorders>
            <w:shd w:val="clear" w:color="auto" w:fill="FFFFFF"/>
            <w:tcMar>
              <w:left w:w="65" w:type="dxa"/>
            </w:tcMar>
            <w:vAlign w:val="center"/>
          </w:tcPr>
          <w:p w:rsidR="00324369" w:rsidRDefault="00324369">
            <w:pPr>
              <w:widowControl/>
              <w:jc w:val="both"/>
            </w:pPr>
            <w:r>
              <w:rPr>
                <w:color w:val="000000"/>
              </w:rPr>
              <w:t>Relatório de Gestão Fiscal - Demonstrativo dos Restos a Pagar (ANEXO 5 do Manual de Demonstrativos Fiscais editado pela STN), relativo ao terceiro quadrimestre ou segundo semestre do exercício a que se refere a prestação de contas, devidamente assinado pelas autoridades definidas no parágrafo único do artigo 54, da LC 101/2000, acompanhado de relação dos restos a pagar inscritos em 31/12 cujas obrigações tenham sido assumidas no primeiro quadrimestre do exercício quando a prestação de contas se referir ao último exercício</w:t>
            </w:r>
            <w:r w:rsidR="00883F06">
              <w:rPr>
                <w:color w:val="000000"/>
              </w:rPr>
              <w:t xml:space="preserve"> do mandato do titular do Poder ou Órgão. </w:t>
            </w:r>
          </w:p>
        </w:tc>
        <w:tc>
          <w:tcPr>
            <w:tcW w:w="1984" w:type="dxa"/>
            <w:tcBorders>
              <w:right w:val="single" w:sz="4" w:space="0" w:color="00000A"/>
            </w:tcBorders>
            <w:shd w:val="clear" w:color="auto" w:fill="FFFFFF"/>
            <w:vAlign w:val="center"/>
          </w:tcPr>
          <w:p w:rsidR="00324369" w:rsidRDefault="00324369">
            <w:pPr>
              <w:widowControl/>
              <w:jc w:val="both"/>
            </w:pPr>
            <w:r>
              <w:rPr>
                <w:color w:val="000000"/>
              </w:rPr>
              <w:t>Coordenadoria de Contabilidade</w:t>
            </w:r>
          </w:p>
        </w:tc>
      </w:tr>
      <w:tr w:rsidR="00324369" w:rsidTr="00324369">
        <w:trPr>
          <w:gridAfter w:val="1"/>
          <w:wAfter w:w="7" w:type="dxa"/>
          <w:trHeight w:val="1415"/>
        </w:trPr>
        <w:tc>
          <w:tcPr>
            <w:tcW w:w="1428" w:type="dxa"/>
            <w:tcBorders>
              <w:left w:val="single" w:sz="4" w:space="0" w:color="00000A"/>
              <w:right w:val="single" w:sz="4" w:space="0" w:color="00000A"/>
            </w:tcBorders>
            <w:shd w:val="clear" w:color="auto" w:fill="FFFFFF"/>
          </w:tcPr>
          <w:p w:rsidR="00324369" w:rsidRDefault="00324369">
            <w:pPr>
              <w:widowControl/>
              <w:jc w:val="both"/>
              <w:rPr>
                <w:color w:val="000000"/>
              </w:rPr>
            </w:pPr>
          </w:p>
          <w:p w:rsidR="00883F06" w:rsidRDefault="00883F06">
            <w:pPr>
              <w:widowControl/>
              <w:jc w:val="both"/>
              <w:rPr>
                <w:color w:val="000000"/>
              </w:rPr>
            </w:pPr>
          </w:p>
          <w:p w:rsidR="00883F06" w:rsidRDefault="00883F06">
            <w:pPr>
              <w:widowControl/>
              <w:jc w:val="both"/>
              <w:rPr>
                <w:color w:val="000000"/>
              </w:rPr>
            </w:pPr>
          </w:p>
          <w:p w:rsidR="00883F06" w:rsidRDefault="00883F06">
            <w:pPr>
              <w:widowControl/>
              <w:jc w:val="both"/>
              <w:rPr>
                <w:color w:val="000000"/>
              </w:rPr>
            </w:pPr>
            <w:r>
              <w:rPr>
                <w:color w:val="000000"/>
              </w:rPr>
              <w:t>DELREP</w:t>
            </w:r>
          </w:p>
        </w:tc>
        <w:tc>
          <w:tcPr>
            <w:tcW w:w="5812" w:type="dxa"/>
            <w:tcBorders>
              <w:left w:val="single" w:sz="4" w:space="0" w:color="00000A"/>
              <w:right w:val="single" w:sz="4" w:space="0" w:color="00000A"/>
            </w:tcBorders>
            <w:shd w:val="clear" w:color="auto" w:fill="FFFFFF"/>
            <w:tcMar>
              <w:left w:w="65" w:type="dxa"/>
            </w:tcMar>
            <w:vAlign w:val="center"/>
          </w:tcPr>
          <w:p w:rsidR="00324369" w:rsidRDefault="00883F06" w:rsidP="00883F06">
            <w:pPr>
              <w:widowControl/>
              <w:jc w:val="both"/>
              <w:rPr>
                <w:color w:val="000000"/>
              </w:rPr>
            </w:pPr>
            <w:r w:rsidRPr="00883F06">
              <w:rPr>
                <w:color w:val="000000"/>
                <w:spacing w:val="-1"/>
                <w:szCs w:val="18"/>
              </w:rPr>
              <w:t xml:space="preserve">Declaração do ordenador de despesas, no ente que instituiu Regime Próprio de </w:t>
            </w:r>
            <w:r w:rsidRPr="00883F06">
              <w:rPr>
                <w:color w:val="000000"/>
                <w:szCs w:val="18"/>
              </w:rPr>
              <w:t>Previdência Social, sobre o repasse integral das contribuições previdenciá</w:t>
            </w:r>
            <w:r>
              <w:rPr>
                <w:color w:val="000000"/>
                <w:szCs w:val="18"/>
              </w:rPr>
              <w:t>ri</w:t>
            </w:r>
            <w:r w:rsidRPr="00883F06">
              <w:rPr>
                <w:color w:val="000000"/>
                <w:szCs w:val="18"/>
              </w:rPr>
              <w:t xml:space="preserve">as </w:t>
            </w:r>
            <w:r w:rsidRPr="00883F06">
              <w:rPr>
                <w:color w:val="000000"/>
                <w:spacing w:val="-3"/>
                <w:szCs w:val="18"/>
              </w:rPr>
              <w:t xml:space="preserve">(servidor e patronal), acrescido dos encargos financeiros em caso de atrasos, de </w:t>
            </w:r>
            <w:r w:rsidRPr="00883F06">
              <w:rPr>
                <w:color w:val="000000"/>
                <w:spacing w:val="-1"/>
                <w:szCs w:val="18"/>
              </w:rPr>
              <w:t xml:space="preserve">todos os valores devidos </w:t>
            </w:r>
            <w:r>
              <w:rPr>
                <w:color w:val="000000"/>
                <w:spacing w:val="-1"/>
                <w:szCs w:val="18"/>
              </w:rPr>
              <w:t>no exercício financeiro ao RPPS, decorrentes de leis,</w:t>
            </w:r>
            <w:r w:rsidRPr="00883F06">
              <w:rPr>
                <w:color w:val="000000"/>
                <w:spacing w:val="-1"/>
                <w:szCs w:val="18"/>
              </w:rPr>
              <w:t xml:space="preserve"> </w:t>
            </w:r>
            <w:r w:rsidRPr="00883F06">
              <w:rPr>
                <w:color w:val="000000"/>
                <w:spacing w:val="-6"/>
                <w:szCs w:val="18"/>
              </w:rPr>
              <w:t xml:space="preserve">acordos, termos de parcelamento e instrumentos congêneres, na forma do Anexo II, </w:t>
            </w:r>
            <w:r w:rsidRPr="00883F06">
              <w:rPr>
                <w:color w:val="000000"/>
                <w:szCs w:val="18"/>
              </w:rPr>
              <w:t>Tabela 33, desta Instrução Normativa.</w:t>
            </w:r>
          </w:p>
        </w:tc>
        <w:tc>
          <w:tcPr>
            <w:tcW w:w="1984" w:type="dxa"/>
            <w:tcBorders>
              <w:right w:val="single" w:sz="4" w:space="0" w:color="00000A"/>
            </w:tcBorders>
            <w:shd w:val="clear" w:color="auto" w:fill="FFFFFF"/>
            <w:vAlign w:val="center"/>
          </w:tcPr>
          <w:p w:rsidR="00324369" w:rsidRDefault="004453D4">
            <w:pPr>
              <w:widowControl/>
              <w:jc w:val="both"/>
              <w:rPr>
                <w:color w:val="000000"/>
              </w:rPr>
            </w:pPr>
            <w:r>
              <w:rPr>
                <w:color w:val="000000"/>
              </w:rPr>
              <w:t>IPAJM</w:t>
            </w:r>
          </w:p>
        </w:tc>
      </w:tr>
    </w:tbl>
    <w:p w:rsidR="00FB448C" w:rsidRDefault="00FB448C">
      <w:pPr>
        <w:spacing w:line="1" w:lineRule="exact"/>
        <w:jc w:val="both"/>
      </w:pPr>
    </w:p>
    <w:p w:rsidR="00FB448C" w:rsidRDefault="00FB448C">
      <w:pPr>
        <w:sectPr w:rsidR="00FB448C" w:rsidSect="002424EB">
          <w:headerReference w:type="default" r:id="rId8"/>
          <w:pgSz w:w="11906" w:h="16838"/>
          <w:pgMar w:top="1440" w:right="1094" w:bottom="720" w:left="1656" w:header="426" w:footer="0" w:gutter="0"/>
          <w:cols w:space="720"/>
          <w:formProt w:val="0"/>
          <w:docGrid w:linePitch="240" w:charSpace="8192"/>
        </w:sectPr>
      </w:pPr>
    </w:p>
    <w:p w:rsidR="00FB448C" w:rsidRDefault="00FB448C"/>
    <w:p w:rsidR="00FB448C" w:rsidRDefault="00FB448C">
      <w:pPr>
        <w:sectPr w:rsidR="00FB448C">
          <w:type w:val="continuous"/>
          <w:pgSz w:w="11906" w:h="16838"/>
          <w:pgMar w:top="1440" w:right="1094" w:bottom="720" w:left="1656" w:header="720" w:footer="0" w:gutter="0"/>
          <w:cols w:num="2" w:sep="1" w:space="720" w:equalWidth="0">
            <w:col w:w="1164" w:space="284"/>
            <w:col w:w="7707"/>
          </w:cols>
          <w:formProt w:val="0"/>
          <w:docGrid w:linePitch="240" w:charSpace="8192"/>
        </w:sectPr>
      </w:pPr>
    </w:p>
    <w:p w:rsidR="009722D7" w:rsidRDefault="009722D7"/>
    <w:sectPr w:rsidR="009722D7">
      <w:type w:val="continuous"/>
      <w:pgSz w:w="11906" w:h="16838"/>
      <w:pgMar w:top="1440" w:right="1094" w:bottom="720" w:left="1656" w:header="720" w:footer="0" w:gutter="0"/>
      <w:cols w:space="720"/>
      <w:formProt w:val="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4F" w:rsidRDefault="0022134F">
      <w:pPr>
        <w:spacing w:line="240" w:lineRule="auto"/>
      </w:pPr>
      <w:r>
        <w:separator/>
      </w:r>
    </w:p>
  </w:endnote>
  <w:endnote w:type="continuationSeparator" w:id="0">
    <w:p w:rsidR="0022134F" w:rsidRDefault="00221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4F" w:rsidRDefault="0022134F">
      <w:pPr>
        <w:spacing w:line="240" w:lineRule="auto"/>
      </w:pPr>
      <w:r>
        <w:separator/>
      </w:r>
    </w:p>
  </w:footnote>
  <w:footnote w:type="continuationSeparator" w:id="0">
    <w:p w:rsidR="0022134F" w:rsidRDefault="002213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369" w:rsidRDefault="00324369" w:rsidP="002424EB">
    <w:pPr>
      <w:pStyle w:val="Corpo"/>
      <w:jc w:val="center"/>
      <w:rPr>
        <w:rFonts w:ascii="Courier New" w:hAnsi="Courier New"/>
        <w:b/>
        <w:sz w:val="21"/>
        <w:szCs w:val="21"/>
      </w:rPr>
    </w:pPr>
    <w:r w:rsidRPr="00BF50BF">
      <w:rPr>
        <w:noProof/>
        <w:sz w:val="23"/>
        <w:szCs w:val="23"/>
      </w:rPr>
      <w:drawing>
        <wp:inline distT="0" distB="0" distL="0" distR="0" wp14:anchorId="39357AE9" wp14:editId="53B8FEE1">
          <wp:extent cx="570843" cy="62898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347" cy="641656"/>
                  </a:xfrm>
                  <a:prstGeom prst="rect">
                    <a:avLst/>
                  </a:prstGeom>
                  <a:noFill/>
                  <a:ln>
                    <a:noFill/>
                  </a:ln>
                </pic:spPr>
              </pic:pic>
            </a:graphicData>
          </a:graphic>
        </wp:inline>
      </w:drawing>
    </w:r>
  </w:p>
  <w:p w:rsidR="00324369" w:rsidRPr="009478FF" w:rsidRDefault="00324369" w:rsidP="002424EB">
    <w:pPr>
      <w:pStyle w:val="Corpo"/>
      <w:jc w:val="center"/>
      <w:rPr>
        <w:rFonts w:ascii="Arial" w:hAnsi="Arial" w:cs="Arial"/>
        <w:bCs/>
        <w:sz w:val="16"/>
        <w:szCs w:val="16"/>
      </w:rPr>
    </w:pPr>
    <w:r w:rsidRPr="009478FF">
      <w:rPr>
        <w:rFonts w:ascii="Arial" w:hAnsi="Arial" w:cs="Arial"/>
        <w:bCs/>
        <w:sz w:val="16"/>
        <w:szCs w:val="16"/>
      </w:rPr>
      <w:t>ESTADO DO ESPIRÍTO SANTO</w:t>
    </w:r>
  </w:p>
  <w:p w:rsidR="00324369" w:rsidRPr="009478FF" w:rsidRDefault="00324369" w:rsidP="002424EB">
    <w:pPr>
      <w:pBdr>
        <w:bottom w:val="single" w:sz="6" w:space="1" w:color="auto"/>
      </w:pBdr>
      <w:spacing w:line="240" w:lineRule="auto"/>
      <w:jc w:val="center"/>
      <w:rPr>
        <w:bCs/>
        <w:sz w:val="16"/>
        <w:szCs w:val="16"/>
      </w:rPr>
    </w:pPr>
    <w:r w:rsidRPr="009478FF">
      <w:rPr>
        <w:bCs/>
        <w:sz w:val="16"/>
        <w:szCs w:val="16"/>
      </w:rPr>
      <w:t>PODER JUDICIÁRIO</w:t>
    </w:r>
  </w:p>
  <w:p w:rsidR="00324369" w:rsidRDefault="00324369" w:rsidP="002424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C568F"/>
    <w:multiLevelType w:val="hybridMultilevel"/>
    <w:tmpl w:val="C90096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63613C3D"/>
    <w:multiLevelType w:val="hybridMultilevel"/>
    <w:tmpl w:val="61708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448C"/>
    <w:rsid w:val="00047E44"/>
    <w:rsid w:val="00140CF7"/>
    <w:rsid w:val="001F7062"/>
    <w:rsid w:val="0022134F"/>
    <w:rsid w:val="00222C16"/>
    <w:rsid w:val="002424EB"/>
    <w:rsid w:val="00324369"/>
    <w:rsid w:val="004453D4"/>
    <w:rsid w:val="00773751"/>
    <w:rsid w:val="00883F06"/>
    <w:rsid w:val="009016AF"/>
    <w:rsid w:val="009722D7"/>
    <w:rsid w:val="009A2976"/>
    <w:rsid w:val="00AD562D"/>
    <w:rsid w:val="00BD3B2B"/>
    <w:rsid w:val="00C708EA"/>
    <w:rsid w:val="00CD70A1"/>
    <w:rsid w:val="00DA1D93"/>
    <w:rsid w:val="00F502A5"/>
    <w:rsid w:val="00FB448C"/>
    <w:rsid w:val="00FE7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spacing w:after="0" w:line="100" w:lineRule="atLeast"/>
    </w:pPr>
    <w:rPr>
      <w:rFonts w:ascii="Arial" w:eastAsia="Times New Roman"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uiPriority w:val="99"/>
    <w:rPr>
      <w:rFonts w:ascii="Arial" w:eastAsia="Times New Roman" w:hAnsi="Arial" w:cs="Arial"/>
      <w:sz w:val="20"/>
      <w:szCs w:val="20"/>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RodapChar">
    <w:name w:val="Rodapé Char"/>
    <w:basedOn w:val="Fontepargpadro"/>
    <w:rPr>
      <w:rFonts w:ascii="Arial" w:eastAsia="Times New Roman" w:hAnsi="Arial" w:cs="Arial"/>
      <w:sz w:val="20"/>
      <w:szCs w:val="20"/>
      <w:lang w:eastAsia="pt-BR"/>
    </w:rPr>
  </w:style>
  <w:style w:type="paragraph" w:styleId="Ttulo">
    <w:name w:val="Title"/>
    <w:basedOn w:val="Normal"/>
    <w:next w:val="Corpodotexto"/>
    <w:pPr>
      <w:keepNext/>
      <w:spacing w:before="240" w:after="120"/>
    </w:pPr>
    <w:rPr>
      <w:rFonts w:eastAsia="Microsoft YaHei"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uiPriority w:val="99"/>
    <w:pPr>
      <w:tabs>
        <w:tab w:val="center" w:pos="4252"/>
        <w:tab w:val="right" w:pos="8504"/>
      </w:tabs>
    </w:pPr>
  </w:style>
  <w:style w:type="paragraph" w:customStyle="1" w:styleId="Corpo">
    <w:name w:val="Corpo"/>
    <w:basedOn w:val="Normal"/>
    <w:uiPriority w:val="99"/>
    <w:pPr>
      <w:textAlignment w:val="baseline"/>
    </w:pPr>
    <w:rPr>
      <w:rFonts w:ascii="Times New Roman" w:hAnsi="Times New Roman" w:cs="Times New Roman"/>
      <w:sz w:val="24"/>
    </w:rPr>
  </w:style>
  <w:style w:type="paragraph" w:styleId="Textodebalo">
    <w:name w:val="Balloon Text"/>
    <w:basedOn w:val="Normal"/>
    <w:rPr>
      <w:rFonts w:ascii="Tahoma" w:hAnsi="Tahoma" w:cs="Tahoma"/>
      <w:sz w:val="16"/>
      <w:szCs w:val="16"/>
    </w:rPr>
  </w:style>
  <w:style w:type="paragraph" w:styleId="Rodap">
    <w:name w:val="footer"/>
    <w:basedOn w:val="Normal"/>
    <w:pPr>
      <w:tabs>
        <w:tab w:val="center" w:pos="4252"/>
        <w:tab w:val="right" w:pos="8504"/>
      </w:tabs>
    </w:pPr>
  </w:style>
  <w:style w:type="paragraph" w:customStyle="1" w:styleId="Cabealho1">
    <w:name w:val="Cabeçalho1"/>
    <w:basedOn w:val="Normal"/>
    <w:pPr>
      <w:widowControl/>
      <w:tabs>
        <w:tab w:val="center" w:pos="4419"/>
        <w:tab w:val="right" w:pos="8838"/>
      </w:tabs>
      <w:textAlignment w:val="baseline"/>
    </w:pPr>
    <w:rPr>
      <w:rFonts w:ascii="Times New Roman" w:hAnsi="Times New Roman" w:cs="Times New Roman"/>
      <w:color w:val="000000"/>
      <w:sz w:val="24"/>
      <w:lang w:val="en-US"/>
    </w:rPr>
  </w:style>
  <w:style w:type="paragraph" w:styleId="PargrafodaLista">
    <w:name w:val="List Paragraph"/>
    <w:basedOn w:val="Normal"/>
    <w:uiPriority w:val="34"/>
    <w:qFormat/>
    <w:rsid w:val="009A2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TJES</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CZMEIRELLES</dc:creator>
  <cp:lastModifiedBy>SLLARANJA</cp:lastModifiedBy>
  <cp:revision>2</cp:revision>
  <cp:lastPrinted>2014-11-18T20:19:00Z</cp:lastPrinted>
  <dcterms:created xsi:type="dcterms:W3CDTF">2017-12-12T18:44:00Z</dcterms:created>
  <dcterms:modified xsi:type="dcterms:W3CDTF">2017-12-12T18:44:00Z</dcterms:modified>
</cp:coreProperties>
</file>