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CHECKLIST DE INSTRUÇÃO PROCESSUAL – ACORDO DE COOPERAÇÃO TÉCNICA, CONVÊNIO E INSTRUMENTOS CONGÊNERES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(SISTEMA DE GOVERNANÇA E GESTÃO ADMINISTRATIVA NORMA DE PROCEDIMENTOS – NP 14.06 – CELEBRAÇÃO DE CONVÊNIO/ACT DE CARÁTER NÃO ONEROSO)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PROCESSO SEI Nº: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INSTITUIÇÃO PARCEIRA: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TELEFONE DE CONTATO COM A UNIDADE E EMAIL: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TIPO DE INSTRUMENTO: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br w:type="textWrapping"/>
        <w:t xml:space="preserve">( ) Acordo de Cooperação Técnica – ACT</w:t>
        <w:br w:type="textWrapping"/>
        <w:t xml:space="preserve">( ) Convênio</w:t>
        <w:br w:type="textWrapping"/>
        <w:t xml:space="preserve">( ) Outro: 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*** Acordo de Cooperação Técnica (ACT) é o instrumento jurídico formalizado entre órgãos e entidades da Administração Pública ou entre estes e outras instituições públicas ou privadas, destinado à consecução de objetivos de interesse comum mediante atuação conjunta, compartilhamento de conhecimentos, intercâmbio de informações, cessão de espaços, disponibilização de recursos humanos ou outras formas de cooperação institucional,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u w:val="single"/>
          <w:rtl w:val="0"/>
        </w:rPr>
        <w:t xml:space="preserve"> sem transferência de recursos financeiros entre os partícipes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*** Convênio, por sua vez, é o instrumento utilizado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u w:val="single"/>
          <w:rtl w:val="0"/>
        </w:rPr>
        <w:t xml:space="preserve">para disciplinar a transferência voluntária de recursos financeiros entre os partícipes para a execução de programa, projeto, atividade, serviço ou evento de interesse recíproco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, estabelecendo obrigações, metas, cronograma de execução, plano de trabalho e prestação de contas dos recursos repassados.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4"/>
          <w:szCs w:val="14"/>
          <w:rtl w:val="0"/>
        </w:rPr>
        <w:t xml:space="preserve">Assim, a distinção fundamental entre os instrumentos reside na existência ou não de transferência de recursos financeiros: na ausência de repasse de recursos, a formalização deve ocorrer por meio de Acordo de Cooperação Técnica; havendo transferência de recursos financeiros para a execução do objeto pactuado, o instrumento adequado será o Convênio, observadas as normas específicas aplicáveis a cada caso.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RECURSOS FINANCEIROS: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br w:type="textWrapping"/>
        <w:t xml:space="preserve">( ) Não há transferência de recursos financeiros.</w:t>
        <w:br w:type="textWrapping"/>
        <w:t xml:space="preserve">( ) Há transferência de recursos financeiros.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I – PROVIDÊNCIAS DE RESPONSABILIDADE DA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UNIDADE DEMANDANTE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Preencher Formulário para Elaboração de Acordos de Cooperação Técnica, Convênios e Outros Instrumentos Congêneres;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Quando NÃO houver minuta previamente elaborada pela instituição parceira, descrever os dados essenciais para a celebração do Termo, no espaço destinado para tanto, no item V deste Formulário.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Fazer a juntada de toda a documentação dos representantes legais da instituição parceira, que irão assinar o termo (CONFORME ITENS II - para parcerias públicas e III, A - para parcerias privadas, deste Formulário)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Verificar a saúde fiscal de instituições parceiras, bem como obter declaração de que estas não empregam menor, nem estão impedidas de contratar com a Administração Pública (CONFORME ITEM III, B, deste Formulário)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Ficar atenta que a celebração de parcerias com instituições públicas envolvem a colheita de dados e documentos diversos da celebração de parcerias com instituições privadas;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parceria só pode ser assinada após aprovada pelo jurídico e após numerada e adequada pela Seção de Contratação, para este fim;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É DEVER DA UNIDADE DEMANDANTE PROCEDER A COLHEITA DAS ASSINATURAS DAS INSTITUIÇÕES PARCEIRAS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conforme item 8.1 da NP 14.06 do Sistema de Governança.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Caso o termo de parceria seja assinado em uma solenidade, ou seja, caso o documento não seja assinado eletronicamente, fazer o PDF da versão final,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JUNTÁ-LO AOS AUTOS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 envia-lo para a Seção de Contratação proceder a publicação da versão final.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II – Providências que devem ser adotadas para HABILITAÇÃO DO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PARTÍCIPE PÚBLICO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Ato de constituição, quando houver;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Ato de nomeação/designação do representante legal;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Documento de identidade do representante legal;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CPF do representante legal.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III –  Providências que devem ser adotadas para HABILITAÇÃO DO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PARTÍCIPE PRIVADO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A) HABILITAÇÃO JURÍDICA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Contrato Social, Estatuto ou Ato Constitutivo atualizado;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Ata de eleição da diretoria (quando aplicável);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Procuração do representante legal (quando aplicável);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RG do representante legal;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CPF do representante legal.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B) REGULARIDADE FISCAL E TRABALHISTA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Cartão CNPJ;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Certidão da Fazenda Federal;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Certidão da Fazenda Estadual;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Certidão da Fazenda Municipal;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Certificado de Regularidade do FGTS;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Certidão Negativa de Débitos Trabalhistas – CNDT.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C) DECLARAÇÕES E CONSULTAS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Declaração de cumprimento do art. 7º, XXXIII, da Constituição Federal;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Consulta Consolidada de Pessoa Jurídica do TCU;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Declaração de que não possui impedimentos para contratar com a Administração Pública.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 –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ELEMENTOS NECESSÁRIOS PARA ELABORAÇÃO DA MINUTA DO ACT/CONVÊNIO: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Caso exista minuta prévia OU minuta PADRÃO do partícipe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apenas sinalizar o número SEI que o documento está juntado, não havendo necessidade de preenchimento dos dados abaixo.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Minuta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MODELO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anexada no doc SEI_____________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numeração seguirá as regras do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PARTÍCIPE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(ou seja, a numeração será aquela dada pelo parceiro e nao por esta Corte de Justiça):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 ) SIM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 ) NÃO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Caso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ff0000"/>
          <w:sz w:val="18"/>
          <w:szCs w:val="18"/>
          <w:u w:val="single"/>
          <w:rtl w:val="0"/>
        </w:rPr>
        <w:t xml:space="preserve">NÃO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single"/>
          <w:rtl w:val="0"/>
        </w:rPr>
        <w:t xml:space="preserve">exista minuta PRÉVIA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necessário o preenchimento dos dados abaixo pela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UNIDADE DEMANDANTE, para que a Seção de Contratação possa elaborar a termo com base neles: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240" w:lineRule="auto"/>
        <w:ind w:left="720" w:hanging="36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IDENTIFICAÇÃO DAS PARTES:</w:t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Razão social completa do partícipe;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CNPJ;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Endereço completo;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Nome do representante legal;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Cargo do representante legal;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CPF do representante legal;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Documento que comprova a representação legal;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240" w:lineRule="auto"/>
        <w:ind w:left="720" w:hanging="36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OBJETO:</w:t>
      </w:r>
    </w:p>
    <w:p w:rsidR="00000000" w:rsidDel="00000000" w:rsidP="00000000" w:rsidRDefault="00000000" w:rsidRPr="00000000" w14:paraId="0000004D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24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Definir objeto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7"/>
        </w:numPr>
        <w:spacing w:after="240" w:before="240" w:lineRule="auto"/>
        <w:ind w:left="720" w:hanging="36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OBRIGAÇÕES DAS PARTES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Obrigações do PJES;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Obrigações do partícipe;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Obrigações comuns, se existirem: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pacing w:after="240" w:before="240" w:lineRule="auto"/>
        <w:ind w:left="720" w:hanging="36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RECURSOS FINANCEIROS</w:t>
      </w:r>
    </w:p>
    <w:p w:rsidR="00000000" w:rsidDel="00000000" w:rsidP="00000000" w:rsidRDefault="00000000" w:rsidRPr="00000000" w14:paraId="00000057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 Não haverá transferência de recursos financeiros entre os partícipes ou</w:t>
      </w:r>
    </w:p>
    <w:p w:rsidR="00000000" w:rsidDel="00000000" w:rsidP="00000000" w:rsidRDefault="00000000" w:rsidRPr="00000000" w14:paraId="00000059">
      <w:pPr>
        <w:spacing w:after="240" w:before="240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Haverá transferência de recursos financeiros, conforme documentação específica.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240" w:lineRule="auto"/>
        <w:ind w:left="720" w:hanging="36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VIGÊNCIA:</w:t>
      </w:r>
    </w:p>
    <w:p w:rsidR="00000000" w:rsidDel="00000000" w:rsidP="00000000" w:rsidRDefault="00000000" w:rsidRPr="00000000" w14:paraId="0000005C">
      <w:pPr>
        <w:spacing w:after="240" w:before="240" w:lineRule="auto"/>
        <w:ind w:left="7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Prazo: ______  (especificar se meses ou anos).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Informar possibilidade de prorrogação.</w:t>
      </w:r>
    </w:p>
    <w:p w:rsidR="00000000" w:rsidDel="00000000" w:rsidP="00000000" w:rsidRDefault="00000000" w:rsidRPr="00000000" w14:paraId="0000005F">
      <w:pPr>
        <w:spacing w:after="240" w:before="240" w:lineRule="auto"/>
        <w:ind w:left="7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6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.  PROTEÇÃO DE DADOS, QUANDO APLICÁVEL: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 objeto envolve tratamento de dados pessoais?</w:t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) Sim - Deve ser inserida Cláusula de Proteção de Dados Pessoais (LGPD), quando houver tratamento, compartilhamento, acesso ou armazenamento de dados pessoais pelos partícipes.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) Não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7. PUBLICAÇÃO: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8: FORO: </w:t>
      </w:r>
    </w:p>
    <w:p w:rsidR="00000000" w:rsidDel="00000000" w:rsidP="00000000" w:rsidRDefault="00000000" w:rsidRPr="00000000" w14:paraId="00000067">
      <w:pPr>
        <w:spacing w:after="240" w:before="240" w:lineRule="auto"/>
        <w:ind w:left="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9: DOCUMENTOS COMPLEMENTARES (QUANDO APLICÁVEL, DEVEM SER ANEXADOS AOS AUTOS)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Plano de Trabalho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Cronograma de execução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 Anuência da instituição parceira;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    ) Outros anexos necessários.</w:t>
      </w:r>
    </w:p>
    <w:p w:rsidR="00000000" w:rsidDel="00000000" w:rsidP="00000000" w:rsidRDefault="00000000" w:rsidRPr="00000000" w14:paraId="0000006C">
      <w:pPr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ASSINAM ESTE DOCUMENTO O SERVIDOR RESPONSÁVEL PELA SUA ELABORAÇÃO E SEU SUPERIOR.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