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MODELO DE MEMÓRIA DE CÁLCULO DO BDI</w:t>
      </w:r>
    </w:p>
    <w:p w:rsidR="00000000" w:rsidDel="00000000" w:rsidP="00000000" w:rsidRDefault="00000000" w:rsidRPr="00000000" w14:paraId="00000002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Versão: 1.0</w:t>
      </w:r>
    </w:p>
    <w:p w:rsidR="00000000" w:rsidDel="00000000" w:rsidP="00000000" w:rsidRDefault="00000000" w:rsidRPr="00000000" w14:paraId="00000003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Data: 22/02/2026</w:t>
      </w:r>
    </w:p>
    <w:p w:rsidR="00000000" w:rsidDel="00000000" w:rsidP="00000000" w:rsidRDefault="00000000" w:rsidRPr="00000000" w14:paraId="00000004">
      <w:pPr>
        <w:spacing w:after="200" w:before="20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presente Memória de Cálculo do Benefício e Despesas Indiretas (BDI) constitui documento técnico integrante do planejamento da contratação de obras e serviços de engenharia no âmbito do Tribunal de Justiça do Estado do Espírito Santo.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Nos termos da Lei de Licitações e Contratos Administrativos, o orçamento estimativo deve refletir preços de mercado, conter composição detalhada de custos unitários e demonstrar a formação do preço global de referência, assegurando transparência, motivação e rastreabilidade.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BDI corresponde ao percentual aplicado sobre o custo direto da obra ou serviço, destinado a cobrir despesas indiretas, riscos ordinários da execução, encargos financeiros, tributos incidentes sobre o faturamento e remuneração empresarial.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presente memória observa: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 Lei de Licitações e Contratos Administrativos, Lei n.º 14.133/2021;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 jurisprudência consolidada do Tribunal de Contas da União, especialmente o Acórdão 2622/2013 – Plenário;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as diretrizes de governança e padronização previstas na Resolução CNJ nº 652/2025;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os princípios da economicidade, eficiência, motivação e controle.</w:t>
      </w:r>
    </w:p>
    <w:p w:rsidR="00000000" w:rsidDel="00000000" w:rsidP="00000000" w:rsidRDefault="00000000" w:rsidRPr="00000000" w14:paraId="0000000D">
      <w:pPr>
        <w:pStyle w:val="Heading1"/>
        <w:spacing w:before="0" w:lineRule="auto"/>
        <w:rPr/>
      </w:pPr>
      <w:bookmarkStart w:colFirst="0" w:colLast="0" w:name="_z4fn865ukrtz" w:id="0"/>
      <w:bookmarkEnd w:id="0"/>
      <w:r w:rsidDel="00000000" w:rsidR="00000000" w:rsidRPr="00000000">
        <w:rPr>
          <w:rtl w:val="0"/>
        </w:rPr>
        <w:t xml:space="preserve">1. FUNDAMENTAÇÃO NORMATIVA E JURISPRUDENCIAL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hd w:fill="c9daf8" w:val="clear"/>
        <w:spacing w:after="0" w:before="0" w:lineRule="auto"/>
        <w:jc w:val="both"/>
        <w:rPr/>
      </w:pPr>
      <w:bookmarkStart w:colFirst="0" w:colLast="0" w:name="_xkuaseit3h57" w:id="1"/>
      <w:bookmarkEnd w:id="1"/>
      <w:r w:rsidDel="00000000" w:rsidR="00000000" w:rsidRPr="00000000">
        <w:rPr>
          <w:rtl w:val="0"/>
        </w:rPr>
        <w:t xml:space="preserve">1.1. Lei de Licitações e Contratos Administrativos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composição do BDI integra a formação do preço de referência e deve:</w:t>
      </w:r>
    </w:p>
    <w:p w:rsidR="00000000" w:rsidDel="00000000" w:rsidP="00000000" w:rsidRDefault="00000000" w:rsidRPr="00000000" w14:paraId="00000011">
      <w:pPr>
        <w:numPr>
          <w:ilvl w:val="0"/>
          <w:numId w:val="17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ser tecnicamente demonstrada;</w:t>
      </w:r>
    </w:p>
    <w:p w:rsidR="00000000" w:rsidDel="00000000" w:rsidP="00000000" w:rsidRDefault="00000000" w:rsidRPr="00000000" w14:paraId="00000012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refletir parâmetros de mercado;</w:t>
      </w:r>
    </w:p>
    <w:p w:rsidR="00000000" w:rsidDel="00000000" w:rsidP="00000000" w:rsidRDefault="00000000" w:rsidRPr="00000000" w14:paraId="00000013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preservar o equilíbrio econômico-financeiro inicial;</w:t>
      </w:r>
    </w:p>
    <w:p w:rsidR="00000000" w:rsidDel="00000000" w:rsidP="00000000" w:rsidRDefault="00000000" w:rsidRPr="00000000" w14:paraId="00000014">
      <w:pPr>
        <w:numPr>
          <w:ilvl w:val="0"/>
          <w:numId w:val="17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evitar duplicidade ou inclusão indevida de custos diretos.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spacing w:after="0" w:before="0" w:lineRule="auto"/>
        <w:rPr/>
      </w:pPr>
      <w:bookmarkStart w:colFirst="0" w:colLast="0" w:name="_q1zv32wfy5ci" w:id="2"/>
      <w:bookmarkEnd w:id="2"/>
      <w:r w:rsidDel="00000000" w:rsidR="00000000" w:rsidRPr="00000000">
        <w:rPr>
          <w:rtl w:val="0"/>
        </w:rPr>
        <w:t xml:space="preserve">1.2. Jurisprudência do Tribunal de Contas da União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Conforme jurisprudência consolidada: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hd w:fill="auto" w:val="clear"/>
        <w:spacing w:before="280" w:lineRule="auto"/>
        <w:rPr/>
      </w:pPr>
      <w:bookmarkStart w:colFirst="0" w:colLast="0" w:name="_gxdq6kl7g3p2" w:id="3"/>
      <w:bookmarkEnd w:id="3"/>
      <w:r w:rsidDel="00000000" w:rsidR="00000000" w:rsidRPr="00000000">
        <w:rPr>
          <w:rtl w:val="0"/>
        </w:rPr>
        <w:t xml:space="preserve">1.2.1. Componentes que integram o BDI</w:t>
      </w:r>
    </w:p>
    <w:p w:rsidR="00000000" w:rsidDel="00000000" w:rsidP="00000000" w:rsidRDefault="00000000" w:rsidRPr="00000000" w14:paraId="00000019">
      <w:pPr>
        <w:numPr>
          <w:ilvl w:val="0"/>
          <w:numId w:val="20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Administração central;</w:t>
      </w:r>
    </w:p>
    <w:p w:rsidR="00000000" w:rsidDel="00000000" w:rsidP="00000000" w:rsidRDefault="00000000" w:rsidRPr="00000000" w14:paraId="0000001A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Riscos ordinários;</w:t>
      </w:r>
    </w:p>
    <w:p w:rsidR="00000000" w:rsidDel="00000000" w:rsidP="00000000" w:rsidRDefault="00000000" w:rsidRPr="00000000" w14:paraId="0000001B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Seguros;</w:t>
      </w:r>
    </w:p>
    <w:p w:rsidR="00000000" w:rsidDel="00000000" w:rsidP="00000000" w:rsidRDefault="00000000" w:rsidRPr="00000000" w14:paraId="0000001C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Garantias;</w:t>
      </w:r>
    </w:p>
    <w:p w:rsidR="00000000" w:rsidDel="00000000" w:rsidP="00000000" w:rsidRDefault="00000000" w:rsidRPr="00000000" w14:paraId="0000001D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Despesas financeiras;</w:t>
      </w:r>
    </w:p>
    <w:p w:rsidR="00000000" w:rsidDel="00000000" w:rsidP="00000000" w:rsidRDefault="00000000" w:rsidRPr="00000000" w14:paraId="0000001E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Remuneração operacional;</w:t>
      </w:r>
    </w:p>
    <w:p w:rsidR="00000000" w:rsidDel="00000000" w:rsidP="00000000" w:rsidRDefault="00000000" w:rsidRPr="00000000" w14:paraId="0000001F">
      <w:pPr>
        <w:numPr>
          <w:ilvl w:val="0"/>
          <w:numId w:val="20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Tributos sobre faturamento.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rPr/>
      </w:pPr>
      <w:bookmarkStart w:colFirst="0" w:colLast="0" w:name="_2xpsdxyqdluq" w:id="4"/>
      <w:bookmarkEnd w:id="4"/>
      <w:r w:rsidDel="00000000" w:rsidR="00000000" w:rsidRPr="00000000">
        <w:rPr>
          <w:rtl w:val="0"/>
        </w:rPr>
        <w:t xml:space="preserve">1.2.2. Componentes que não integram o BDI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Devem constar como custos diretos:</w:t>
      </w:r>
    </w:p>
    <w:p w:rsidR="00000000" w:rsidDel="00000000" w:rsidP="00000000" w:rsidRDefault="00000000" w:rsidRPr="00000000" w14:paraId="00000022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Administração local;</w:t>
      </w:r>
    </w:p>
    <w:p w:rsidR="00000000" w:rsidDel="00000000" w:rsidP="00000000" w:rsidRDefault="00000000" w:rsidRPr="00000000" w14:paraId="00000023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Instalação de canteiro;</w:t>
      </w:r>
    </w:p>
    <w:p w:rsidR="00000000" w:rsidDel="00000000" w:rsidP="00000000" w:rsidRDefault="00000000" w:rsidRPr="00000000" w14:paraId="00000024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Mobilização e desmobilização.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rPr/>
      </w:pPr>
      <w:bookmarkStart w:colFirst="0" w:colLast="0" w:name="_g2xvvrigl4hi" w:id="5"/>
      <w:bookmarkEnd w:id="5"/>
      <w:r w:rsidDel="00000000" w:rsidR="00000000" w:rsidRPr="00000000">
        <w:rPr>
          <w:rtl w:val="0"/>
        </w:rPr>
        <w:t xml:space="preserve">1.2.3. IRPJ e CSLL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Não devem ser discriminados autonomamente, estando implicitamente considerados na remuneração operacional.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rPr/>
      </w:pPr>
      <w:bookmarkStart w:colFirst="0" w:colLast="0" w:name="_6qhqtyjk5nrp" w:id="6"/>
      <w:bookmarkEnd w:id="6"/>
      <w:r w:rsidDel="00000000" w:rsidR="00000000" w:rsidRPr="00000000">
        <w:rPr>
          <w:rtl w:val="0"/>
        </w:rPr>
        <w:t xml:space="preserve">1.2.4. BDI diferenciado</w:t>
      </w:r>
    </w:p>
    <w:p w:rsidR="00000000" w:rsidDel="00000000" w:rsidP="00000000" w:rsidRDefault="00000000" w:rsidRPr="00000000" w14:paraId="00000028">
      <w:pPr>
        <w:pStyle w:val="Heading4"/>
        <w:spacing w:after="240" w:before="240" w:lineRule="auto"/>
        <w:rPr/>
      </w:pPr>
      <w:bookmarkStart w:colFirst="0" w:colLast="0" w:name="_48neesdwateo" w:id="7"/>
      <w:bookmarkEnd w:id="7"/>
      <w:r w:rsidDel="00000000" w:rsidR="00000000" w:rsidRPr="00000000">
        <w:rPr>
          <w:rtl w:val="0"/>
        </w:rPr>
        <w:t xml:space="preserve">1.2.4.1. Hipótese de Aplicação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Admite-se a aplicação de BDI diferenciado nas hipóteses em que houver fornecimento relevante de materiais ou equipamentos industrializados, padronizados ou de fabricação seriada, cuja participação no contrato seja predominante ou economicamente significativa e cuja atividade da contratada limite-se à intermediação comercial, sem assunção de risco executivo substancial.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BDI diferenciado aplica-se exclusivamente ao fornecimento do bem, não abrangendo serviços correlatos de instalação, montagem, adaptação, integração ou comissionamento.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ausência de segregação poderá ensejar risco de sobrepreço, conforme jurisprudência consolidada do Tribunal de Contas da União.</w:t>
      </w:r>
    </w:p>
    <w:p w:rsidR="00000000" w:rsidDel="00000000" w:rsidP="00000000" w:rsidRDefault="00000000" w:rsidRPr="00000000" w14:paraId="0000002C">
      <w:pPr>
        <w:pStyle w:val="Heading4"/>
        <w:spacing w:after="240" w:before="240" w:lineRule="auto"/>
        <w:jc w:val="both"/>
        <w:rPr/>
      </w:pPr>
      <w:bookmarkStart w:colFirst="0" w:colLast="0" w:name="_b2rou96i9821" w:id="8"/>
      <w:bookmarkEnd w:id="8"/>
      <w:r w:rsidDel="00000000" w:rsidR="00000000" w:rsidRPr="00000000">
        <w:rPr>
          <w:rtl w:val="0"/>
        </w:rPr>
        <w:t xml:space="preserve">1.2.4.2. Requisitos Obrigatórios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aplicação de BDI diferenciado dependerá cumulativamente de:</w:t>
      </w:r>
    </w:p>
    <w:p w:rsidR="00000000" w:rsidDel="00000000" w:rsidP="00000000" w:rsidRDefault="00000000" w:rsidRPr="00000000" w14:paraId="0000002E">
      <w:pPr>
        <w:numPr>
          <w:ilvl w:val="0"/>
          <w:numId w:val="23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segregação expressa do fornecimento e dos serviços associados na planilha de custos diretos;</w:t>
      </w:r>
    </w:p>
    <w:p w:rsidR="00000000" w:rsidDel="00000000" w:rsidP="00000000" w:rsidRDefault="00000000" w:rsidRPr="00000000" w14:paraId="0000002F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demonstração de que o bem constitui produto industrializado padronizado;</w:t>
      </w:r>
    </w:p>
    <w:p w:rsidR="00000000" w:rsidDel="00000000" w:rsidP="00000000" w:rsidRDefault="00000000" w:rsidRPr="00000000" w14:paraId="00000030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comprovação de que o risco técnico principal recai sobre o fabricante;</w:t>
      </w:r>
    </w:p>
    <w:p w:rsidR="00000000" w:rsidDel="00000000" w:rsidP="00000000" w:rsidRDefault="00000000" w:rsidRPr="00000000" w14:paraId="00000031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justificativa técnica circunstanciada na memória de cálculo;</w:t>
      </w:r>
    </w:p>
    <w:p w:rsidR="00000000" w:rsidDel="00000000" w:rsidP="00000000" w:rsidRDefault="00000000" w:rsidRPr="00000000" w14:paraId="00000032">
      <w:pPr>
        <w:numPr>
          <w:ilvl w:val="0"/>
          <w:numId w:val="23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compatibilidade do percentual adotado com parâmetros referenciais de mercado e com a jurisprudência do Tribunal de Contas da União.</w:t>
      </w:r>
    </w:p>
    <w:p w:rsidR="00000000" w:rsidDel="00000000" w:rsidP="00000000" w:rsidRDefault="00000000" w:rsidRPr="00000000" w14:paraId="00000033">
      <w:pPr>
        <w:pStyle w:val="Heading4"/>
        <w:spacing w:after="240" w:before="240" w:lineRule="auto"/>
        <w:jc w:val="both"/>
        <w:rPr/>
      </w:pPr>
      <w:bookmarkStart w:colFirst="0" w:colLast="0" w:name="_om715keb7mlz" w:id="9"/>
      <w:bookmarkEnd w:id="9"/>
      <w:r w:rsidDel="00000000" w:rsidR="00000000" w:rsidRPr="00000000">
        <w:rPr>
          <w:rtl w:val="0"/>
        </w:rPr>
        <w:t xml:space="preserve">1.2.4.3. Limites e Vedação</w:t>
      </w:r>
    </w:p>
    <w:p w:rsidR="00000000" w:rsidDel="00000000" w:rsidP="00000000" w:rsidRDefault="00000000" w:rsidRPr="00000000" w14:paraId="0000003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Não se admite BDI diferenciado quando: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 fornecimento estiver intrinsecamente integrado à execução do serviço de engenharia;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houver risco executivo relevante assumido pela contratada;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 item for fabricado sob medida ou exigir adaptação técnica complexa na obra;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não houver segregação clara entre fornecimento e serviços associados.</w:t>
      </w:r>
    </w:p>
    <w:p w:rsidR="00000000" w:rsidDel="00000000" w:rsidP="00000000" w:rsidRDefault="00000000" w:rsidRPr="00000000" w14:paraId="0000003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Nessas hipóteses, deverá ser aplicado o BDI geral da contratação.</w:t>
      </w:r>
    </w:p>
    <w:p w:rsidR="00000000" w:rsidDel="00000000" w:rsidP="00000000" w:rsidRDefault="00000000" w:rsidRPr="00000000" w14:paraId="0000003A">
      <w:pPr>
        <w:pStyle w:val="Heading4"/>
        <w:spacing w:after="240" w:before="240" w:lineRule="auto"/>
        <w:jc w:val="both"/>
        <w:rPr/>
      </w:pPr>
      <w:bookmarkStart w:colFirst="0" w:colLast="0" w:name="_ymilqreli467" w:id="10"/>
      <w:bookmarkEnd w:id="10"/>
      <w:r w:rsidDel="00000000" w:rsidR="00000000" w:rsidRPr="00000000">
        <w:rPr>
          <w:rtl w:val="0"/>
        </w:rPr>
        <w:t xml:space="preserve">1.2.4.4. Percentual Referencial</w:t>
      </w:r>
    </w:p>
    <w:p w:rsidR="00000000" w:rsidDel="00000000" w:rsidP="00000000" w:rsidRDefault="00000000" w:rsidRPr="00000000" w14:paraId="0000003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percentual do BDI diferenciado deverá ser inferior ao BDI geral adotado para os serviços de engenharia e compatível com os parâmetros estatísticos identificados pelo Tribunal de Contas da União para fornecimentos relevantes.</w:t>
      </w:r>
    </w:p>
    <w:p w:rsidR="00000000" w:rsidDel="00000000" w:rsidP="00000000" w:rsidRDefault="00000000" w:rsidRPr="00000000" w14:paraId="0000003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adoção de percentual superior à média referencial exigirá justificativa técnica específica.</w:t>
      </w:r>
    </w:p>
    <w:p w:rsidR="00000000" w:rsidDel="00000000" w:rsidP="00000000" w:rsidRDefault="00000000" w:rsidRPr="00000000" w14:paraId="0000003D">
      <w:pPr>
        <w:pStyle w:val="Heading4"/>
        <w:spacing w:after="240" w:before="240" w:lineRule="auto"/>
        <w:jc w:val="both"/>
        <w:rPr/>
      </w:pPr>
      <w:bookmarkStart w:colFirst="0" w:colLast="0" w:name="_9j8bpd11275q" w:id="11"/>
      <w:bookmarkEnd w:id="11"/>
      <w:r w:rsidDel="00000000" w:rsidR="00000000" w:rsidRPr="00000000">
        <w:rPr>
          <w:rtl w:val="0"/>
        </w:rPr>
        <w:t xml:space="preserve">1.2.4.5. Controle Preventivo</w:t>
      </w:r>
    </w:p>
    <w:p w:rsidR="00000000" w:rsidDel="00000000" w:rsidP="00000000" w:rsidRDefault="00000000" w:rsidRPr="00000000" w14:paraId="0000003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memória de cálculo deverá indicar expressamente: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os itens submetidos a BDI diferenciado;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 percentual aplicado;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 fundamentação técnica adotada;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 conformidade com a jurisprudência vigente.</w:t>
      </w:r>
    </w:p>
    <w:p w:rsidR="00000000" w:rsidDel="00000000" w:rsidP="00000000" w:rsidRDefault="00000000" w:rsidRPr="00000000" w14:paraId="00000043">
      <w:pPr>
        <w:keepNext w:val="0"/>
        <w:keepLines w:val="0"/>
        <w:shd w:fill="auto" w:val="clear"/>
        <w:spacing w:after="120" w:before="480" w:lineRule="auto"/>
        <w:jc w:val="both"/>
        <w:rPr>
          <w:b w:val="1"/>
          <w:bCs w:val="1"/>
          <w:color w:val="980000"/>
        </w:rPr>
      </w:pPr>
      <w:r w:rsidDel="00000000" w:rsidR="00000000" w:rsidRPr="00000000">
        <w:rPr>
          <w:b w:val="1"/>
          <w:bCs w:val="1"/>
          <w:color w:val="980000"/>
          <w:rtl w:val="0"/>
        </w:rPr>
        <w:t xml:space="preserve">EXEMPLO 1 – FORNECIMENTO DE ELEVADORES</w:t>
      </w:r>
    </w:p>
    <w:p w:rsidR="00000000" w:rsidDel="00000000" w:rsidP="00000000" w:rsidRDefault="00000000" w:rsidRPr="00000000" w14:paraId="00000044">
      <w:pPr>
        <w:keepNext w:val="0"/>
        <w:keepLines w:val="0"/>
        <w:shd w:fill="auto" w:val="clear"/>
        <w:spacing w:after="80" w:befor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Situação</w:t>
      </w:r>
    </w:p>
    <w:p w:rsidR="00000000" w:rsidDel="00000000" w:rsidP="00000000" w:rsidRDefault="00000000" w:rsidRPr="00000000" w14:paraId="0000004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Obra de construção de fórum com fornecimento e instalação de elevadores.</w:t>
      </w:r>
    </w:p>
    <w:p w:rsidR="00000000" w:rsidDel="00000000" w:rsidP="00000000" w:rsidRDefault="00000000" w:rsidRPr="00000000" w14:paraId="0000004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Valor estimado:</w:t>
      </w:r>
    </w:p>
    <w:p w:rsidR="00000000" w:rsidDel="00000000" w:rsidP="00000000" w:rsidRDefault="00000000" w:rsidRPr="00000000" w14:paraId="00000047">
      <w:pPr>
        <w:numPr>
          <w:ilvl w:val="0"/>
          <w:numId w:val="16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Elevadores (equipamento): R$ 1.200.000,00</w:t>
      </w:r>
    </w:p>
    <w:p w:rsidR="00000000" w:rsidDel="00000000" w:rsidP="00000000" w:rsidRDefault="00000000" w:rsidRPr="00000000" w14:paraId="00000048">
      <w:pPr>
        <w:numPr>
          <w:ilvl w:val="0"/>
          <w:numId w:val="16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Instalação/montagem: R$ 180.000,00</w:t>
      </w:r>
    </w:p>
    <w:p w:rsidR="00000000" w:rsidDel="00000000" w:rsidP="00000000" w:rsidRDefault="00000000" w:rsidRPr="00000000" w14:paraId="00000049">
      <w:pPr>
        <w:keepNext w:val="0"/>
        <w:keepLines w:val="0"/>
        <w:shd w:fill="auto" w:val="clear"/>
        <w:spacing w:after="80" w:befor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Tratamento Correto</w:t>
      </w:r>
    </w:p>
    <w:p w:rsidR="00000000" w:rsidDel="00000000" w:rsidP="00000000" w:rsidRDefault="00000000" w:rsidRPr="00000000" w14:paraId="0000004A">
      <w:pPr>
        <w:keepNext w:val="0"/>
        <w:keepLines w:val="0"/>
        <w:numPr>
          <w:ilvl w:val="0"/>
          <w:numId w:val="25"/>
        </w:numPr>
        <w:spacing w:after="8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Fornecimento do equipamento</w:t>
      </w:r>
    </w:p>
    <w:p w:rsidR="00000000" w:rsidDel="00000000" w:rsidP="00000000" w:rsidRDefault="00000000" w:rsidRPr="00000000" w14:paraId="0000004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Aplica-se </w:t>
      </w:r>
      <w:r w:rsidDel="00000000" w:rsidR="00000000" w:rsidRPr="00000000">
        <w:rPr>
          <w:b w:val="1"/>
          <w:bCs w:val="1"/>
          <w:rtl w:val="0"/>
        </w:rPr>
        <w:t xml:space="preserve">BDI diferenciado</w:t>
      </w:r>
      <w:r w:rsidDel="00000000" w:rsidR="00000000" w:rsidRPr="00000000">
        <w:rPr>
          <w:rtl w:val="0"/>
        </w:rPr>
        <w:t xml:space="preserve"> (ex.: 14% a 15%).</w:t>
      </w:r>
    </w:p>
    <w:p w:rsidR="00000000" w:rsidDel="00000000" w:rsidP="00000000" w:rsidRDefault="00000000" w:rsidRPr="00000000" w14:paraId="0000004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Justificativa:</w:t>
      </w:r>
    </w:p>
    <w:p w:rsidR="00000000" w:rsidDel="00000000" w:rsidP="00000000" w:rsidRDefault="00000000" w:rsidRPr="00000000" w14:paraId="0000004D">
      <w:pPr>
        <w:numPr>
          <w:ilvl w:val="0"/>
          <w:numId w:val="26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Trata-se de bem industrializado;</w:t>
      </w:r>
    </w:p>
    <w:p w:rsidR="00000000" w:rsidDel="00000000" w:rsidP="00000000" w:rsidRDefault="00000000" w:rsidRPr="00000000" w14:paraId="0000004E">
      <w:pPr>
        <w:numPr>
          <w:ilvl w:val="0"/>
          <w:numId w:val="2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 construtora atua como intermediária;</w:t>
      </w:r>
    </w:p>
    <w:p w:rsidR="00000000" w:rsidDel="00000000" w:rsidP="00000000" w:rsidRDefault="00000000" w:rsidRPr="00000000" w14:paraId="0000004F">
      <w:pPr>
        <w:numPr>
          <w:ilvl w:val="0"/>
          <w:numId w:val="2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Baixo risco executivo;</w:t>
      </w:r>
    </w:p>
    <w:p w:rsidR="00000000" w:rsidDel="00000000" w:rsidP="00000000" w:rsidRDefault="00000000" w:rsidRPr="00000000" w14:paraId="00000050">
      <w:pPr>
        <w:numPr>
          <w:ilvl w:val="0"/>
          <w:numId w:val="26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ISS não incide sobre o fornecimento puro.</w:t>
      </w:r>
    </w:p>
    <w:p w:rsidR="00000000" w:rsidDel="00000000" w:rsidP="00000000" w:rsidRDefault="00000000" w:rsidRPr="00000000" w14:paraId="00000051">
      <w:pPr>
        <w:spacing w:after="0" w:before="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numPr>
          <w:ilvl w:val="0"/>
          <w:numId w:val="25"/>
        </w:numPr>
        <w:spacing w:after="8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Serviços de instalação</w:t>
      </w:r>
    </w:p>
    <w:p w:rsidR="00000000" w:rsidDel="00000000" w:rsidP="00000000" w:rsidRDefault="00000000" w:rsidRPr="00000000" w14:paraId="0000005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Devem constar como item específico na planilha de custos diretos e receber </w:t>
      </w:r>
      <w:r w:rsidDel="00000000" w:rsidR="00000000" w:rsidRPr="00000000">
        <w:rPr>
          <w:b w:val="1"/>
          <w:bCs w:val="1"/>
          <w:rtl w:val="0"/>
        </w:rPr>
        <w:t xml:space="preserve">BDI geral</w:t>
      </w:r>
      <w:r w:rsidDel="00000000" w:rsidR="00000000" w:rsidRPr="00000000">
        <w:rPr>
          <w:rtl w:val="0"/>
        </w:rPr>
        <w:t xml:space="preserve"> (ex.: 22% a 25%).</w:t>
      </w:r>
    </w:p>
    <w:p w:rsidR="00000000" w:rsidDel="00000000" w:rsidP="00000000" w:rsidRDefault="00000000" w:rsidRPr="00000000" w14:paraId="00000054">
      <w:pPr>
        <w:spacing w:after="240" w:before="240" w:lineRule="auto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Conformidade com o TCU.</w:t>
      </w:r>
    </w:p>
    <w:p w:rsidR="00000000" w:rsidDel="00000000" w:rsidP="00000000" w:rsidRDefault="00000000" w:rsidRPr="00000000" w14:paraId="00000055">
      <w:pPr>
        <w:keepNext w:val="0"/>
        <w:keepLines w:val="0"/>
        <w:shd w:fill="auto" w:val="clear"/>
        <w:spacing w:after="120" w:before="480" w:lineRule="auto"/>
        <w:jc w:val="both"/>
        <w:rPr>
          <w:b w:val="1"/>
          <w:bCs w:val="1"/>
          <w:color w:val="980000"/>
        </w:rPr>
      </w:pPr>
      <w:r w:rsidDel="00000000" w:rsidR="00000000" w:rsidRPr="00000000">
        <w:rPr>
          <w:b w:val="1"/>
          <w:bCs w:val="1"/>
          <w:color w:val="980000"/>
          <w:rtl w:val="0"/>
        </w:rPr>
        <w:t xml:space="preserve">EXEMPLO 2 – SISTEMA DE AR-CONDICIONADO VRF</w:t>
      </w:r>
    </w:p>
    <w:p w:rsidR="00000000" w:rsidDel="00000000" w:rsidP="00000000" w:rsidRDefault="00000000" w:rsidRPr="00000000" w14:paraId="00000056">
      <w:pPr>
        <w:keepNext w:val="0"/>
        <w:keepLines w:val="0"/>
        <w:shd w:fill="auto" w:val="clear"/>
        <w:spacing w:after="80" w:befor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Situação</w:t>
      </w:r>
    </w:p>
    <w:p w:rsidR="00000000" w:rsidDel="00000000" w:rsidP="00000000" w:rsidRDefault="00000000" w:rsidRPr="00000000" w14:paraId="0000005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Fornecimento de sistema VRF completo:</w:t>
      </w:r>
    </w:p>
    <w:p w:rsidR="00000000" w:rsidDel="00000000" w:rsidP="00000000" w:rsidRDefault="00000000" w:rsidRPr="00000000" w14:paraId="00000058">
      <w:pPr>
        <w:numPr>
          <w:ilvl w:val="0"/>
          <w:numId w:val="2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Equipamentos (condensadoras, evaporadoras): R$ 950.000,00</w:t>
      </w:r>
    </w:p>
    <w:p w:rsidR="00000000" w:rsidDel="00000000" w:rsidP="00000000" w:rsidRDefault="00000000" w:rsidRPr="00000000" w14:paraId="00000059">
      <w:pPr>
        <w:numPr>
          <w:ilvl w:val="0"/>
          <w:numId w:val="2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Instalação (infraestrutura, tubulação, testes): R$ 250.000,00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00.6649168853896"/>
        <w:gridCol w:w="3106.001749781278"/>
        <w:gridCol w:w="3718.8451443569556"/>
        <w:tblGridChange w:id="0">
          <w:tblGrid>
            <w:gridCol w:w="2200.6649168853896"/>
            <w:gridCol w:w="3106.001749781278"/>
            <w:gridCol w:w="3718.845144356955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Natureza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BDI Aplicável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Equipamentos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Fornecimento relevante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BDI diferenciado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Instalação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Serviço de engenharia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BDI geral</w:t>
            </w:r>
          </w:p>
        </w:tc>
      </w:tr>
    </w:tbl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planilha deve separar claramente: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Fornecimento do equipamento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Execução da instalação</w:t>
      </w:r>
    </w:p>
    <w:p w:rsidR="00000000" w:rsidDel="00000000" w:rsidP="00000000" w:rsidRDefault="00000000" w:rsidRPr="00000000" w14:paraId="00000066">
      <w:pPr>
        <w:keepNext w:val="0"/>
        <w:keepLines w:val="0"/>
        <w:shd w:fill="auto" w:val="clear"/>
        <w:spacing w:after="120" w:before="48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EXEMPLO 3 – GERADOR DE ENERGIA</w:t>
      </w:r>
    </w:p>
    <w:p w:rsidR="00000000" w:rsidDel="00000000" w:rsidP="00000000" w:rsidRDefault="00000000" w:rsidRPr="00000000" w14:paraId="00000067">
      <w:pPr>
        <w:keepNext w:val="0"/>
        <w:keepLines w:val="0"/>
        <w:shd w:fill="auto" w:val="clear"/>
        <w:spacing w:after="80" w:befor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Situação</w:t>
      </w:r>
    </w:p>
    <w:p w:rsidR="00000000" w:rsidDel="00000000" w:rsidP="00000000" w:rsidRDefault="00000000" w:rsidRPr="00000000" w14:paraId="00000068">
      <w:pPr>
        <w:numPr>
          <w:ilvl w:val="0"/>
          <w:numId w:val="27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Gerador: R$ 600.000,00</w:t>
      </w:r>
    </w:p>
    <w:p w:rsidR="00000000" w:rsidDel="00000000" w:rsidP="00000000" w:rsidRDefault="00000000" w:rsidRPr="00000000" w14:paraId="00000069">
      <w:pPr>
        <w:numPr>
          <w:ilvl w:val="0"/>
          <w:numId w:val="2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Base civil e instalação elétrica: R$ 90.000,00</w:t>
      </w:r>
    </w:p>
    <w:p w:rsidR="00000000" w:rsidDel="00000000" w:rsidP="00000000" w:rsidRDefault="00000000" w:rsidRPr="00000000" w14:paraId="0000006A">
      <w:pPr>
        <w:keepNext w:val="0"/>
        <w:keepLines w:val="0"/>
        <w:shd w:fill="auto" w:val="clear"/>
        <w:spacing w:after="80" w:befor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Aplicação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Gerador → BDI diferenciado</w:t>
        <w:br w:type="textWrapping"/>
        <w:t xml:space="preserve">Base e instalação → BDI geral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Motivo:</w:t>
      </w:r>
    </w:p>
    <w:p w:rsidR="00000000" w:rsidDel="00000000" w:rsidP="00000000" w:rsidRDefault="00000000" w:rsidRPr="00000000" w14:paraId="0000006D">
      <w:pPr>
        <w:numPr>
          <w:ilvl w:val="0"/>
          <w:numId w:val="1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O equipamento é industrializado;</w:t>
      </w:r>
    </w:p>
    <w:p w:rsidR="00000000" w:rsidDel="00000000" w:rsidP="00000000" w:rsidRDefault="00000000" w:rsidRPr="00000000" w14:paraId="0000006E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 risco técnico está concentrado no fabricante;</w:t>
      </w:r>
    </w:p>
    <w:p w:rsidR="00000000" w:rsidDel="00000000" w:rsidP="00000000" w:rsidRDefault="00000000" w:rsidRPr="00000000" w14:paraId="0000006F">
      <w:pPr>
        <w:numPr>
          <w:ilvl w:val="0"/>
          <w:numId w:val="1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 construtora não executa fabricação.</w:t>
      </w:r>
    </w:p>
    <w:p w:rsidR="00000000" w:rsidDel="00000000" w:rsidP="00000000" w:rsidRDefault="00000000" w:rsidRPr="00000000" w14:paraId="00000070">
      <w:pPr>
        <w:keepNext w:val="0"/>
        <w:keepLines w:val="0"/>
        <w:shd w:fill="auto" w:val="clear"/>
        <w:spacing w:after="120" w:before="480" w:lineRule="auto"/>
        <w:jc w:val="both"/>
        <w:rPr>
          <w:b w:val="1"/>
          <w:bCs w:val="1"/>
          <w:color w:val="980000"/>
        </w:rPr>
      </w:pPr>
      <w:r w:rsidDel="00000000" w:rsidR="00000000" w:rsidRPr="00000000">
        <w:rPr>
          <w:b w:val="1"/>
          <w:bCs w:val="1"/>
          <w:color w:val="980000"/>
          <w:rtl w:val="0"/>
        </w:rPr>
        <w:t xml:space="preserve">EXEMPLO 4 – MOBILIÁRIO CORPORATIVO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 contrato de reforma de fórum:</w:t>
      </w:r>
    </w:p>
    <w:p w:rsidR="00000000" w:rsidDel="00000000" w:rsidP="00000000" w:rsidRDefault="00000000" w:rsidRPr="00000000" w14:paraId="00000072">
      <w:pPr>
        <w:numPr>
          <w:ilvl w:val="0"/>
          <w:numId w:val="1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Fornecimento de mobiliário planejado: R$ 400.000,00</w:t>
      </w:r>
    </w:p>
    <w:p w:rsidR="00000000" w:rsidDel="00000000" w:rsidP="00000000" w:rsidRDefault="00000000" w:rsidRPr="00000000" w14:paraId="00000073">
      <w:pPr>
        <w:numPr>
          <w:ilvl w:val="0"/>
          <w:numId w:val="1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Montagem e fixação: R$ 60.000,00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Mobiliário → BDI diferenciado</w:t>
        <w:br w:type="textWrapping"/>
        <w:t xml:space="preserve">Montagem → BDI geral</w:t>
      </w:r>
    </w:p>
    <w:p w:rsidR="00000000" w:rsidDel="00000000" w:rsidP="00000000" w:rsidRDefault="00000000" w:rsidRPr="00000000" w14:paraId="00000075">
      <w:pPr>
        <w:keepNext w:val="0"/>
        <w:keepLines w:val="0"/>
        <w:shd w:fill="auto" w:val="clear"/>
        <w:spacing w:after="120" w:before="48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EXEMPLO NUMÉRICO COMPARATIVO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Suponha:</w:t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BDI geral = 24%</w:t>
      </w:r>
    </w:p>
    <w:p w:rsidR="00000000" w:rsidDel="00000000" w:rsidP="00000000" w:rsidRDefault="00000000" w:rsidRPr="00000000" w14:paraId="00000078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BDI diferenciado = 15%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Equipamento: R$ 1.000.000</w:t>
      </w:r>
    </w:p>
    <w:p w:rsidR="00000000" w:rsidDel="00000000" w:rsidP="00000000" w:rsidRDefault="00000000" w:rsidRPr="00000000" w14:paraId="0000007A">
      <w:pPr>
        <w:keepNext w:val="0"/>
        <w:keepLines w:val="0"/>
        <w:spacing w:after="8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Aplicação incorreta (BDI geral):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1.000.000 x 24% = 240.000</w:t>
        <w:br w:type="textWrapping"/>
        <w:t xml:space="preserve"> Preço final = 1.240.000</w:t>
      </w:r>
    </w:p>
    <w:p w:rsidR="00000000" w:rsidDel="00000000" w:rsidP="00000000" w:rsidRDefault="00000000" w:rsidRPr="00000000" w14:paraId="0000007C">
      <w:pPr>
        <w:keepNext w:val="0"/>
        <w:keepLines w:val="0"/>
        <w:spacing w:after="8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Aplicação correta (BDI diferenciado):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1.000.000 x 15% = 150.000</w:t>
        <w:br w:type="textWrapping"/>
        <w:t xml:space="preserve"> Preço final = 1.150.000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Diferença: R$ 90.000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 contratos grandes, essa diferença pode gerar apontamento de sobrepreço.</w:t>
      </w:r>
    </w:p>
    <w:p w:rsidR="00000000" w:rsidDel="00000000" w:rsidP="00000000" w:rsidRDefault="00000000" w:rsidRPr="00000000" w14:paraId="00000080">
      <w:pPr>
        <w:keepNext w:val="0"/>
        <w:keepLines w:val="0"/>
        <w:shd w:fill="auto" w:val="clear"/>
        <w:spacing w:after="120" w:before="480" w:lineRule="auto"/>
        <w:jc w:val="both"/>
        <w:rPr>
          <w:b w:val="1"/>
          <w:bCs w:val="1"/>
          <w:color w:val="980000"/>
        </w:rPr>
      </w:pPr>
      <w:r w:rsidDel="00000000" w:rsidR="00000000" w:rsidRPr="00000000">
        <w:rPr>
          <w:b w:val="1"/>
          <w:bCs w:val="1"/>
          <w:color w:val="980000"/>
          <w:rtl w:val="0"/>
        </w:rPr>
        <w:t xml:space="preserve">EXEMPLO 5 – QUANDO NÃO SE APLICA BDI DIFERENCIADO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Não se aplica quando:</w:t>
      </w:r>
    </w:p>
    <w:p w:rsidR="00000000" w:rsidDel="00000000" w:rsidP="00000000" w:rsidRDefault="00000000" w:rsidRPr="00000000" w14:paraId="00000082">
      <w:pPr>
        <w:numPr>
          <w:ilvl w:val="0"/>
          <w:numId w:val="9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O item envolve execução complexa integrada;</w:t>
      </w:r>
    </w:p>
    <w:p w:rsidR="00000000" w:rsidDel="00000000" w:rsidP="00000000" w:rsidRDefault="00000000" w:rsidRPr="00000000" w14:paraId="00000083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 fornecimento não é predominante;</w:t>
      </w:r>
    </w:p>
    <w:p w:rsidR="00000000" w:rsidDel="00000000" w:rsidP="00000000" w:rsidRDefault="00000000" w:rsidRPr="00000000" w14:paraId="00000084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 equipamento é fabricado sob medida na obra;</w:t>
      </w:r>
    </w:p>
    <w:p w:rsidR="00000000" w:rsidDel="00000000" w:rsidP="00000000" w:rsidRDefault="00000000" w:rsidRPr="00000000" w14:paraId="00000085">
      <w:pPr>
        <w:numPr>
          <w:ilvl w:val="0"/>
          <w:numId w:val="9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Há risco executivo significativo.</w:t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Exemplo: estrutura metálica fabricada sob medida e montada na obra → tende a receber BDI geral.</w:t>
      </w:r>
    </w:p>
    <w:p w:rsidR="00000000" w:rsidDel="00000000" w:rsidP="00000000" w:rsidRDefault="00000000" w:rsidRPr="00000000" w14:paraId="00000087">
      <w:pPr>
        <w:keepNext w:val="0"/>
        <w:keepLines w:val="0"/>
        <w:shd w:fill="auto" w:val="clear"/>
        <w:spacing w:after="120" w:before="480" w:lineRule="auto"/>
        <w:jc w:val="both"/>
        <w:rPr>
          <w:b w:val="1"/>
          <w:bCs w:val="1"/>
          <w:color w:val="980000"/>
        </w:rPr>
      </w:pPr>
      <w:r w:rsidDel="00000000" w:rsidR="00000000" w:rsidRPr="00000000">
        <w:rPr>
          <w:b w:val="1"/>
          <w:bCs w:val="1"/>
          <w:color w:val="980000"/>
          <w:rtl w:val="0"/>
        </w:rPr>
        <w:t xml:space="preserve">CRITÉRIOS OBJETIVOS PARA APLICAÇÃO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aplicar BDI diferenciado, recomenda-se verificar:</w:t>
      </w:r>
    </w:p>
    <w:p w:rsidR="00000000" w:rsidDel="00000000" w:rsidP="00000000" w:rsidRDefault="00000000" w:rsidRPr="00000000" w14:paraId="00000089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 item é bem industrializado padronizado?</w:t>
      </w:r>
    </w:p>
    <w:p w:rsidR="00000000" w:rsidDel="00000000" w:rsidP="00000000" w:rsidRDefault="00000000" w:rsidRPr="00000000" w14:paraId="0000008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atividade da construtora é meramente intermediadora?</w:t>
      </w:r>
    </w:p>
    <w:p w:rsidR="00000000" w:rsidDel="00000000" w:rsidP="00000000" w:rsidRDefault="00000000" w:rsidRPr="00000000" w14:paraId="0000008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 risco executivo é baixo?</w:t>
      </w:r>
    </w:p>
    <w:p w:rsidR="00000000" w:rsidDel="00000000" w:rsidP="00000000" w:rsidRDefault="00000000" w:rsidRPr="00000000" w14:paraId="0000008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 fornecimento representa parcela significativa do contrato?</w:t>
      </w:r>
    </w:p>
    <w:p w:rsidR="00000000" w:rsidDel="00000000" w:rsidP="00000000" w:rsidRDefault="00000000" w:rsidRPr="00000000" w14:paraId="0000008D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Serviços associados estão segregados na planilha?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todas as respostas forem “sim”, há forte fundamento técnico para BDI diferenciado.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3"/>
        <w:spacing w:before="240" w:lineRule="auto"/>
        <w:rPr/>
      </w:pPr>
      <w:bookmarkStart w:colFirst="0" w:colLast="0" w:name="_rnztcknxd8ol" w:id="12"/>
      <w:bookmarkEnd w:id="12"/>
      <w:r w:rsidDel="00000000" w:rsidR="00000000" w:rsidRPr="00000000">
        <w:rPr>
          <w:rtl w:val="0"/>
        </w:rPr>
        <w:t xml:space="preserve">1.2.5. Faixas referenciais</w:t>
      </w:r>
    </w:p>
    <w:p w:rsidR="00000000" w:rsidDel="00000000" w:rsidP="00000000" w:rsidRDefault="00000000" w:rsidRPr="00000000" w14:paraId="0000009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percentual adotado deve ser compatível com as faixas estatísticas identificadas pelo TCU para a tipologia da obra. Percentuais superiores ao terceiro quartil exigem justificativa técnica específica.</w:t>
      </w:r>
    </w:p>
    <w:p w:rsidR="00000000" w:rsidDel="00000000" w:rsidP="00000000" w:rsidRDefault="00000000" w:rsidRPr="00000000" w14:paraId="00000091">
      <w:pPr>
        <w:pStyle w:val="Heading3"/>
        <w:spacing w:after="240" w:before="240" w:lineRule="auto"/>
        <w:jc w:val="both"/>
        <w:rPr/>
      </w:pPr>
      <w:bookmarkStart w:colFirst="0" w:colLast="0" w:name="_dwbaew7my6fy" w:id="13"/>
      <w:bookmarkEnd w:id="13"/>
      <w:r w:rsidDel="00000000" w:rsidR="00000000" w:rsidRPr="00000000">
        <w:rPr>
          <w:rtl w:val="0"/>
        </w:rPr>
        <w:t xml:space="preserve">1.2.6. Parâmetro Estatístico Referencial – Edificações</w:t>
      </w:r>
    </w:p>
    <w:p w:rsidR="00000000" w:rsidDel="00000000" w:rsidP="00000000" w:rsidRDefault="00000000" w:rsidRPr="00000000" w14:paraId="0000009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Para fins de controle preventivo, consideram-se, como referência estatística do TCU para edificações:</w:t>
      </w:r>
    </w:p>
    <w:tbl>
      <w:tblPr>
        <w:tblStyle w:val="Table2"/>
        <w:tblW w:w="571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70"/>
        <w:gridCol w:w="3345"/>
        <w:tblGridChange w:id="0">
          <w:tblGrid>
            <w:gridCol w:w="2370"/>
            <w:gridCol w:w="334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Percentual Referencial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1º Quartil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~20%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Média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~22%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3º Quartil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~25%</w:t>
            </w:r>
          </w:p>
        </w:tc>
      </w:tr>
    </w:tbl>
    <w:p w:rsidR="00000000" w:rsidDel="00000000" w:rsidP="00000000" w:rsidRDefault="00000000" w:rsidRPr="00000000" w14:paraId="0000009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Os percentuais acima constituem parâmetros estatísticos referenciais, não configurando limites normativos absolutos.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2"/>
        <w:rPr/>
      </w:pPr>
      <w:bookmarkStart w:colFirst="0" w:colLast="0" w:name="_dyz25j7nioz" w:id="14"/>
      <w:bookmarkEnd w:id="14"/>
      <w:r w:rsidDel="00000000" w:rsidR="00000000" w:rsidRPr="00000000">
        <w:rPr>
          <w:rtl w:val="0"/>
        </w:rPr>
        <w:t xml:space="preserve">1.3. Resolução CNJ n.º 652/2025</w:t>
      </w:r>
    </w:p>
    <w:p w:rsidR="00000000" w:rsidDel="00000000" w:rsidP="00000000" w:rsidRDefault="00000000" w:rsidRPr="00000000" w14:paraId="0000009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Resolução estabelece:</w:t>
      </w:r>
    </w:p>
    <w:p w:rsidR="00000000" w:rsidDel="00000000" w:rsidP="00000000" w:rsidRDefault="00000000" w:rsidRPr="00000000" w14:paraId="0000009E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Obrigatoriedade de memória de cálculo do BDI;</w:t>
      </w:r>
    </w:p>
    <w:p w:rsidR="00000000" w:rsidDel="00000000" w:rsidP="00000000" w:rsidRDefault="00000000" w:rsidRPr="00000000" w14:paraId="0000009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Discriminação das parcelas;</w:t>
      </w:r>
    </w:p>
    <w:p w:rsidR="00000000" w:rsidDel="00000000" w:rsidP="00000000" w:rsidRDefault="00000000" w:rsidRPr="00000000" w14:paraId="000000A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Fundamentação técnica do percentual adotado;</w:t>
      </w:r>
    </w:p>
    <w:p w:rsidR="00000000" w:rsidDel="00000000" w:rsidP="00000000" w:rsidRDefault="00000000" w:rsidRPr="00000000" w14:paraId="000000A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Padronização no âmbito do Poder Judiciário;</w:t>
      </w:r>
    </w:p>
    <w:p w:rsidR="00000000" w:rsidDel="00000000" w:rsidP="00000000" w:rsidRDefault="00000000" w:rsidRPr="00000000" w14:paraId="000000A2">
      <w:pPr>
        <w:numPr>
          <w:ilvl w:val="0"/>
          <w:numId w:val="4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Transparência e controle.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1"/>
        <w:rPr/>
      </w:pPr>
      <w:bookmarkStart w:colFirst="0" w:colLast="0" w:name="_671jbv5a9fi1" w:id="15"/>
      <w:bookmarkEnd w:id="15"/>
      <w:r w:rsidDel="00000000" w:rsidR="00000000" w:rsidRPr="00000000">
        <w:rPr>
          <w:rtl w:val="0"/>
        </w:rPr>
        <w:t xml:space="preserve">2. METODOLOGIA DE ELABORAÇÃO DO BDI</w:t>
      </w:r>
    </w:p>
    <w:p w:rsidR="00000000" w:rsidDel="00000000" w:rsidP="00000000" w:rsidRDefault="00000000" w:rsidRPr="00000000" w14:paraId="000000A4">
      <w:pPr>
        <w:keepNext w:val="0"/>
        <w:keepLines w:val="0"/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2"/>
        <w:rPr/>
      </w:pPr>
      <w:bookmarkStart w:colFirst="0" w:colLast="0" w:name="_8wnrg5hfogwy" w:id="16"/>
      <w:bookmarkEnd w:id="16"/>
      <w:r w:rsidDel="00000000" w:rsidR="00000000" w:rsidRPr="00000000">
        <w:rPr>
          <w:rtl w:val="0"/>
        </w:rPr>
        <w:t xml:space="preserve">2.1. Premissas Técnicas</w:t>
      </w:r>
    </w:p>
    <w:p w:rsidR="00000000" w:rsidDel="00000000" w:rsidP="00000000" w:rsidRDefault="00000000" w:rsidRPr="00000000" w14:paraId="000000A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composição do BDI considerará:</w:t>
      </w:r>
    </w:p>
    <w:p w:rsidR="00000000" w:rsidDel="00000000" w:rsidP="00000000" w:rsidRDefault="00000000" w:rsidRPr="00000000" w14:paraId="000000A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Tipologia da obra;</w:t>
      </w:r>
    </w:p>
    <w:p w:rsidR="00000000" w:rsidDel="00000000" w:rsidP="00000000" w:rsidRDefault="00000000" w:rsidRPr="00000000" w14:paraId="000000A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Regime de execução;</w:t>
      </w:r>
    </w:p>
    <w:p w:rsidR="00000000" w:rsidDel="00000000" w:rsidP="00000000" w:rsidRDefault="00000000" w:rsidRPr="00000000" w14:paraId="000000A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Prazo contratual;</w:t>
      </w:r>
    </w:p>
    <w:p w:rsidR="00000000" w:rsidDel="00000000" w:rsidP="00000000" w:rsidRDefault="00000000" w:rsidRPr="00000000" w14:paraId="000000A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Matriz de riscos aprovada;</w:t>
      </w:r>
    </w:p>
    <w:p w:rsidR="00000000" w:rsidDel="00000000" w:rsidP="00000000" w:rsidRDefault="00000000" w:rsidRPr="00000000" w14:paraId="000000A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Local de execução;</w:t>
      </w:r>
    </w:p>
    <w:p w:rsidR="00000000" w:rsidDel="00000000" w:rsidP="00000000" w:rsidRDefault="00000000" w:rsidRPr="00000000" w14:paraId="000000A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Regime tributário estimado;</w:t>
      </w:r>
    </w:p>
    <w:p w:rsidR="00000000" w:rsidDel="00000000" w:rsidP="00000000" w:rsidRDefault="00000000" w:rsidRPr="00000000" w14:paraId="000000A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Fluxo do cronograma físico-financeiro.</w:t>
      </w:r>
    </w:p>
    <w:p w:rsidR="00000000" w:rsidDel="00000000" w:rsidP="00000000" w:rsidRDefault="00000000" w:rsidRPr="00000000" w14:paraId="000000AE">
      <w:pPr>
        <w:pStyle w:val="Heading2"/>
        <w:rPr/>
      </w:pPr>
      <w:bookmarkStart w:colFirst="0" w:colLast="0" w:name="_14ckb891x9qq" w:id="17"/>
      <w:bookmarkEnd w:id="17"/>
      <w:r w:rsidDel="00000000" w:rsidR="00000000" w:rsidRPr="00000000">
        <w:rPr>
          <w:rtl w:val="0"/>
        </w:rPr>
        <w:t xml:space="preserve">2.2. Vinculação à Matriz de Riscos</w:t>
      </w:r>
    </w:p>
    <w:p w:rsidR="00000000" w:rsidDel="00000000" w:rsidP="00000000" w:rsidRDefault="00000000" w:rsidRPr="00000000" w14:paraId="000000A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taxa de risco deverá ser compatível com o percentual de risco ordinário identificado na matriz de riscos aprovada no Estudo Técnico Preliminar ou no Projeto Básico, vedada a inclusão de riscos extraordinários ou alocados contratualmente à Administração.</w:t>
      </w:r>
    </w:p>
    <w:p w:rsidR="00000000" w:rsidDel="00000000" w:rsidP="00000000" w:rsidRDefault="00000000" w:rsidRPr="00000000" w14:paraId="000000B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Não poderão ser incluídos:</w:t>
      </w:r>
    </w:p>
    <w:p w:rsidR="00000000" w:rsidDel="00000000" w:rsidP="00000000" w:rsidRDefault="00000000" w:rsidRPr="00000000" w14:paraId="000000B1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Riscos alocados à Administração;</w:t>
      </w:r>
    </w:p>
    <w:p w:rsidR="00000000" w:rsidDel="00000000" w:rsidP="00000000" w:rsidRDefault="00000000" w:rsidRPr="00000000" w14:paraId="000000B2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Eventos extraordinários;</w:t>
      </w:r>
    </w:p>
    <w:p w:rsidR="00000000" w:rsidDel="00000000" w:rsidP="00000000" w:rsidRDefault="00000000" w:rsidRPr="00000000" w14:paraId="000000B3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Situações que ensejem reequilíbrio contratual.</w:t>
      </w:r>
    </w:p>
    <w:p w:rsidR="00000000" w:rsidDel="00000000" w:rsidP="00000000" w:rsidRDefault="00000000" w:rsidRPr="00000000" w14:paraId="000000B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memória deverá indicar expressamente a correspondência entre a taxa de risco adotada e a matriz de riscos do empreendimento.</w:t>
      </w:r>
    </w:p>
    <w:p w:rsidR="00000000" w:rsidDel="00000000" w:rsidP="00000000" w:rsidRDefault="00000000" w:rsidRPr="00000000" w14:paraId="000000B5">
      <w:pPr>
        <w:pStyle w:val="Heading2"/>
        <w:rPr/>
      </w:pPr>
      <w:bookmarkStart w:colFirst="0" w:colLast="0" w:name="_c5wp97yv5mf6" w:id="18"/>
      <w:bookmarkEnd w:id="18"/>
      <w:r w:rsidDel="00000000" w:rsidR="00000000" w:rsidRPr="00000000">
        <w:rPr>
          <w:rtl w:val="0"/>
        </w:rPr>
        <w:t xml:space="preserve">2.3. Estrutura Analítica do BDI</w:t>
      </w:r>
    </w:p>
    <w:p w:rsidR="00000000" w:rsidDel="00000000" w:rsidP="00000000" w:rsidRDefault="00000000" w:rsidRPr="00000000" w14:paraId="000000B6">
      <w:pPr>
        <w:pStyle w:val="Heading3"/>
        <w:rPr/>
      </w:pPr>
      <w:bookmarkStart w:colFirst="0" w:colLast="0" w:name="_pu5joomh7kmw" w:id="19"/>
      <w:bookmarkEnd w:id="19"/>
      <w:r w:rsidDel="00000000" w:rsidR="00000000" w:rsidRPr="00000000">
        <w:rPr>
          <w:rtl w:val="0"/>
        </w:rPr>
        <w:t xml:space="preserve">2.3.1. Administração Central</w:t>
      </w:r>
    </w:p>
    <w:p w:rsidR="00000000" w:rsidDel="00000000" w:rsidP="00000000" w:rsidRDefault="00000000" w:rsidRPr="00000000" w14:paraId="000000B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Taxa de rateio das despesas administrativas corporativas da empresa.</w:t>
      </w:r>
    </w:p>
    <w:p w:rsidR="00000000" w:rsidDel="00000000" w:rsidP="00000000" w:rsidRDefault="00000000" w:rsidRPr="00000000" w14:paraId="000000B8">
      <w:pPr>
        <w:pStyle w:val="Heading3"/>
        <w:rPr/>
      </w:pPr>
      <w:bookmarkStart w:colFirst="0" w:colLast="0" w:name="_muvoipv3rcbs" w:id="20"/>
      <w:bookmarkEnd w:id="20"/>
      <w:r w:rsidDel="00000000" w:rsidR="00000000" w:rsidRPr="00000000">
        <w:rPr>
          <w:rtl w:val="0"/>
        </w:rPr>
        <w:t xml:space="preserve">2.3.2. Riscos</w:t>
      </w:r>
    </w:p>
    <w:p w:rsidR="00000000" w:rsidDel="00000000" w:rsidP="00000000" w:rsidRDefault="00000000" w:rsidRPr="00000000" w14:paraId="000000B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Contingências ordinárias da execução.</w:t>
      </w:r>
    </w:p>
    <w:p w:rsidR="00000000" w:rsidDel="00000000" w:rsidP="00000000" w:rsidRDefault="00000000" w:rsidRPr="00000000" w14:paraId="000000BA">
      <w:pPr>
        <w:pStyle w:val="Heading3"/>
        <w:rPr/>
      </w:pPr>
      <w:bookmarkStart w:colFirst="0" w:colLast="0" w:name="_k9dn2fi9afpm" w:id="21"/>
      <w:bookmarkEnd w:id="21"/>
      <w:r w:rsidDel="00000000" w:rsidR="00000000" w:rsidRPr="00000000">
        <w:rPr>
          <w:rtl w:val="0"/>
        </w:rPr>
        <w:t xml:space="preserve">2.3.3. Seguros e Garantias</w:t>
      </w:r>
    </w:p>
    <w:p w:rsidR="00000000" w:rsidDel="00000000" w:rsidP="00000000" w:rsidRDefault="00000000" w:rsidRPr="00000000" w14:paraId="000000B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Inclui seguro garantia contratual, responsabilidade civil e seguro de engenharia, quando aplicável.</w:t>
      </w:r>
    </w:p>
    <w:p w:rsidR="00000000" w:rsidDel="00000000" w:rsidP="00000000" w:rsidRDefault="00000000" w:rsidRPr="00000000" w14:paraId="000000BC">
      <w:pPr>
        <w:pStyle w:val="Heading3"/>
        <w:rPr/>
      </w:pPr>
      <w:bookmarkStart w:colFirst="0" w:colLast="0" w:name="_vvcwf0ch1dqo" w:id="22"/>
      <w:bookmarkEnd w:id="22"/>
      <w:r w:rsidDel="00000000" w:rsidR="00000000" w:rsidRPr="00000000">
        <w:rPr>
          <w:rtl w:val="0"/>
        </w:rPr>
        <w:t xml:space="preserve">2.3.4. Despesas Financeiras</w:t>
      </w:r>
    </w:p>
    <w:p w:rsidR="00000000" w:rsidDel="00000000" w:rsidP="00000000" w:rsidRDefault="00000000" w:rsidRPr="00000000" w14:paraId="000000B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Consideram:</w:t>
      </w:r>
    </w:p>
    <w:p w:rsidR="00000000" w:rsidDel="00000000" w:rsidP="00000000" w:rsidRDefault="00000000" w:rsidRPr="00000000" w14:paraId="000000BE">
      <w:pPr>
        <w:numPr>
          <w:ilvl w:val="0"/>
          <w:numId w:val="8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Prazo médio entre medição e pagamento;</w:t>
      </w:r>
    </w:p>
    <w:p w:rsidR="00000000" w:rsidDel="00000000" w:rsidP="00000000" w:rsidRDefault="00000000" w:rsidRPr="00000000" w14:paraId="000000BF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Capital de giro;</w:t>
      </w:r>
    </w:p>
    <w:p w:rsidR="00000000" w:rsidDel="00000000" w:rsidP="00000000" w:rsidRDefault="00000000" w:rsidRPr="00000000" w14:paraId="000000C0">
      <w:pPr>
        <w:numPr>
          <w:ilvl w:val="0"/>
          <w:numId w:val="8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Distribuição temporal do cronograma.</w:t>
      </w:r>
    </w:p>
    <w:p w:rsidR="00000000" w:rsidDel="00000000" w:rsidP="00000000" w:rsidRDefault="00000000" w:rsidRPr="00000000" w14:paraId="000000C1">
      <w:pPr>
        <w:pStyle w:val="Heading3"/>
        <w:rPr/>
      </w:pPr>
      <w:bookmarkStart w:colFirst="0" w:colLast="0" w:name="_o66hi5di5yfg" w:id="23"/>
      <w:bookmarkEnd w:id="23"/>
      <w:r w:rsidDel="00000000" w:rsidR="00000000" w:rsidRPr="00000000">
        <w:rPr>
          <w:rtl w:val="0"/>
        </w:rPr>
        <w:t xml:space="preserve">2.3.5. Remuneração Operacional</w:t>
      </w:r>
    </w:p>
    <w:p w:rsidR="00000000" w:rsidDel="00000000" w:rsidP="00000000" w:rsidRDefault="00000000" w:rsidRPr="00000000" w14:paraId="000000C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Remuneração </w:t>
      </w:r>
      <w:r w:rsidDel="00000000" w:rsidR="00000000" w:rsidRPr="00000000">
        <w:rPr>
          <w:i w:val="1"/>
          <w:iCs w:val="1"/>
          <w:rtl w:val="0"/>
        </w:rPr>
        <w:t xml:space="preserve">ex ante</w:t>
      </w:r>
      <w:r w:rsidDel="00000000" w:rsidR="00000000" w:rsidRPr="00000000">
        <w:rPr>
          <w:rtl w:val="0"/>
        </w:rPr>
        <w:t xml:space="preserve"> compatível com padrões de mercado.</w:t>
      </w:r>
    </w:p>
    <w:p w:rsidR="00000000" w:rsidDel="00000000" w:rsidP="00000000" w:rsidRDefault="00000000" w:rsidRPr="00000000" w14:paraId="000000C3">
      <w:pPr>
        <w:pStyle w:val="Heading3"/>
        <w:rPr/>
      </w:pPr>
      <w:bookmarkStart w:colFirst="0" w:colLast="0" w:name="_grrjpurfi4pd" w:id="24"/>
      <w:bookmarkEnd w:id="24"/>
      <w:r w:rsidDel="00000000" w:rsidR="00000000" w:rsidRPr="00000000">
        <w:rPr>
          <w:rtl w:val="0"/>
        </w:rPr>
        <w:t xml:space="preserve">2.3.6. Tributos sobre Faturamento</w:t>
      </w:r>
    </w:p>
    <w:p w:rsidR="00000000" w:rsidDel="00000000" w:rsidP="00000000" w:rsidRDefault="00000000" w:rsidRPr="00000000" w14:paraId="000000C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Devem observar:</w:t>
      </w:r>
    </w:p>
    <w:p w:rsidR="00000000" w:rsidDel="00000000" w:rsidP="00000000" w:rsidRDefault="00000000" w:rsidRPr="00000000" w14:paraId="000000C5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ISS (conforme legislação municipal);</w:t>
      </w:r>
    </w:p>
    <w:p w:rsidR="00000000" w:rsidDel="00000000" w:rsidP="00000000" w:rsidRDefault="00000000" w:rsidRPr="00000000" w14:paraId="000000C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PIS;</w:t>
      </w:r>
    </w:p>
    <w:p w:rsidR="00000000" w:rsidDel="00000000" w:rsidP="00000000" w:rsidRDefault="00000000" w:rsidRPr="00000000" w14:paraId="000000C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COFINS;</w:t>
      </w:r>
    </w:p>
    <w:p w:rsidR="00000000" w:rsidDel="00000000" w:rsidP="00000000" w:rsidRDefault="00000000" w:rsidRPr="00000000" w14:paraId="000000C8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CPRB (quando aplicável).</w:t>
      </w:r>
    </w:p>
    <w:p w:rsidR="00000000" w:rsidDel="00000000" w:rsidP="00000000" w:rsidRDefault="00000000" w:rsidRPr="00000000" w14:paraId="000000C9">
      <w:pPr>
        <w:pStyle w:val="Heading2"/>
        <w:spacing w:after="0" w:before="0" w:lineRule="auto"/>
        <w:jc w:val="both"/>
        <w:rPr/>
      </w:pPr>
      <w:bookmarkStart w:colFirst="0" w:colLast="0" w:name="_ig9pv7q4vs13" w:id="25"/>
      <w:bookmarkEnd w:id="25"/>
      <w:r w:rsidDel="00000000" w:rsidR="00000000" w:rsidRPr="00000000">
        <w:rPr>
          <w:rtl w:val="0"/>
        </w:rPr>
        <w:t xml:space="preserve">2.4 Fórmula de Cálculo</w:t>
      </w:r>
    </w:p>
    <w:p w:rsidR="00000000" w:rsidDel="00000000" w:rsidP="00000000" w:rsidRDefault="00000000" w:rsidRPr="00000000" w14:paraId="000000CA">
      <w:pPr>
        <w:spacing w:after="240" w:before="240" w:lineRule="auto"/>
        <w:jc w:val="center"/>
        <w:rPr>
          <w:sz w:val="30"/>
          <w:szCs w:val="30"/>
        </w:rPr>
      </w:pPr>
      <m:oMath>
        <m:r>
          <w:rPr>
            <w:sz w:val="30"/>
            <w:szCs w:val="30"/>
          </w:rPr>
          <m:t xml:space="preserve">BDI=</m:t>
        </m:r>
        <m:d>
          <m:dPr>
            <m:begChr m:val="["/>
            <m:endChr m:val="]"/>
            <m:ctrlPr>
              <w:rPr>
                <w:sz w:val="30"/>
                <w:szCs w:val="30"/>
              </w:rPr>
            </m:ctrlPr>
          </m:dPr>
          <m:e>
            <m:f>
              <m:fPr>
                <m:ctrlPr>
                  <w:rPr>
                    <w:sz w:val="30"/>
                    <w:szCs w:val="30"/>
                  </w:rPr>
                </m:ctrlPr>
              </m:fPr>
              <m:num>
                <m:d>
                  <m:dPr>
                    <m:begChr m:val="("/>
                    <m:endChr m:val=")"/>
                    <m:ctrlPr>
                      <w:rPr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sz w:val="30"/>
                        <w:szCs w:val="30"/>
                      </w:rPr>
                      <m:t xml:space="preserve">1+AC+R+S+G+DF+L</m:t>
                    </m:r>
                  </m:e>
                </m:d>
              </m:num>
              <m:den>
                <m:d>
                  <m:dPr>
                    <m:begChr m:val="("/>
                    <m:endChr m:val=")"/>
                    <m:ctrlPr>
                      <w:rPr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sz w:val="30"/>
                        <w:szCs w:val="30"/>
                      </w:rPr>
                      <m:t xml:space="preserve">1-T</m:t>
                    </m:r>
                  </m:e>
                </m:d>
              </m:den>
            </m:f>
          </m:e>
        </m:d>
        <m:r>
          <w:rPr>
            <w:sz w:val="30"/>
            <w:szCs w:val="30"/>
          </w:rPr>
          <m:t xml:space="preserve">-1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240" w:before="240" w:lineRule="auto"/>
        <w:ind w:left="566.9291338582675" w:firstLine="0"/>
        <w:jc w:val="both"/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0CC">
      <w:pPr>
        <w:spacing w:after="240" w:before="240" w:lineRule="auto"/>
        <w:ind w:left="566.9291338582675" w:firstLine="0"/>
        <w:jc w:val="both"/>
        <w:rPr/>
      </w:pPr>
      <w:r w:rsidDel="00000000" w:rsidR="00000000" w:rsidRPr="00000000">
        <w:rPr>
          <w:rtl w:val="0"/>
        </w:rPr>
        <w:t xml:space="preserve">AC = Administração Central</w:t>
        <w:br w:type="textWrapping"/>
        <w:t xml:space="preserve">R = Riscos</w:t>
        <w:br w:type="textWrapping"/>
        <w:t xml:space="preserve">S = Seguros</w:t>
        <w:br w:type="textWrapping"/>
        <w:t xml:space="preserve">G = Garantias</w:t>
        <w:br w:type="textWrapping"/>
        <w:t xml:space="preserve">DF = Despesas Financeiras</w:t>
        <w:br w:type="textWrapping"/>
        <w:t xml:space="preserve">L = Remuneração</w:t>
        <w:br w:type="textWrapping"/>
        <w:t xml:space="preserve">T = Tributos</w:t>
      </w:r>
    </w:p>
    <w:p w:rsidR="00000000" w:rsidDel="00000000" w:rsidP="00000000" w:rsidRDefault="00000000" w:rsidRPr="00000000" w14:paraId="000000CD">
      <w:pPr>
        <w:pStyle w:val="Heading3"/>
        <w:rPr/>
      </w:pPr>
      <w:bookmarkStart w:colFirst="0" w:colLast="0" w:name="_yxt8ij2iojbf" w:id="26"/>
      <w:bookmarkEnd w:id="26"/>
      <w:r w:rsidDel="00000000" w:rsidR="00000000" w:rsidRPr="00000000">
        <w:rPr>
          <w:rtl w:val="0"/>
        </w:rPr>
        <w:t xml:space="preserve">2.4.1. Cálculo das Despesas Financeiras</w:t>
      </w:r>
    </w:p>
    <w:p w:rsidR="00000000" w:rsidDel="00000000" w:rsidP="00000000" w:rsidRDefault="00000000" w:rsidRPr="00000000" w14:paraId="000000C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taxa de despesas financeiras poderá ser estimada com base na seguinte fórmula indicativa:</w:t>
      </w:r>
    </w:p>
    <w:p w:rsidR="00000000" w:rsidDel="00000000" w:rsidP="00000000" w:rsidRDefault="00000000" w:rsidRPr="00000000" w14:paraId="000000CF">
      <w:pPr>
        <w:spacing w:after="240" w:before="240" w:lineRule="auto"/>
        <w:jc w:val="center"/>
        <w:rPr>
          <w:sz w:val="30"/>
          <w:szCs w:val="30"/>
        </w:rPr>
      </w:pPr>
      <m:oMath>
        <m:r>
          <w:rPr>
            <w:sz w:val="30"/>
            <w:szCs w:val="30"/>
          </w:rPr>
          <m:t xml:space="preserve">DF=</m:t>
        </m:r>
        <m:d>
          <m:dPr>
            <m:begChr m:val="("/>
            <m:endChr m:val=")"/>
            <m:ctrlPr>
              <w:rPr>
                <w:sz w:val="30"/>
                <w:szCs w:val="30"/>
              </w:rPr>
            </m:ctrlPr>
          </m:dPr>
          <m:e>
            <m:r>
              <w:rPr>
                <w:sz w:val="30"/>
                <w:szCs w:val="30"/>
              </w:rPr>
              <m:t xml:space="preserve">PM/30</m:t>
            </m:r>
          </m:e>
        </m:d>
        <m:r>
          <w:rPr>
            <w:sz w:val="30"/>
            <w:szCs w:val="30"/>
          </w:rPr>
          <m:t>×</m:t>
        </m:r>
        <m:d>
          <m:dPr>
            <m:begChr m:val="("/>
            <m:endChr m:val=")"/>
            <m:ctrlPr>
              <w:rPr>
                <w:sz w:val="30"/>
                <w:szCs w:val="30"/>
              </w:rPr>
            </m:ctrlPr>
          </m:dPr>
          <m:e>
            <m:r>
              <w:rPr>
                <w:sz w:val="30"/>
                <w:szCs w:val="30"/>
              </w:rPr>
              <m:t xml:space="preserve">i/12</m:t>
            </m:r>
          </m:e>
        </m:d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0D1">
      <w:pPr>
        <w:spacing w:after="240" w:before="240" w:lineRule="auto"/>
        <w:ind w:left="566.9291338582675" w:firstLine="0"/>
        <w:jc w:val="both"/>
        <w:rPr/>
      </w:pPr>
      <w:r w:rsidDel="00000000" w:rsidR="00000000" w:rsidRPr="00000000">
        <w:rPr>
          <w:rtl w:val="0"/>
        </w:rPr>
        <w:t xml:space="preserve">PM = Prazo médio de pagamento (em dias)</w:t>
        <w:br w:type="textWrapping"/>
        <w:t xml:space="preserve">i = Taxa anual de capital (Selic ou custo médio de capital estimado)</w:t>
      </w:r>
    </w:p>
    <w:p w:rsidR="00000000" w:rsidDel="00000000" w:rsidP="00000000" w:rsidRDefault="00000000" w:rsidRPr="00000000" w14:paraId="000000D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“i” deve ser compatível com:</w:t>
      </w:r>
    </w:p>
    <w:p w:rsidR="00000000" w:rsidDel="00000000" w:rsidP="00000000" w:rsidRDefault="00000000" w:rsidRPr="00000000" w14:paraId="000000D3">
      <w:pPr>
        <w:numPr>
          <w:ilvl w:val="0"/>
          <w:numId w:val="18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Selic média do período;</w:t>
      </w:r>
    </w:p>
    <w:p w:rsidR="00000000" w:rsidDel="00000000" w:rsidP="00000000" w:rsidRDefault="00000000" w:rsidRPr="00000000" w14:paraId="000000D4">
      <w:pPr>
        <w:numPr>
          <w:ilvl w:val="0"/>
          <w:numId w:val="18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ou custo médio ponderado de capital estimado.</w:t>
      </w:r>
    </w:p>
    <w:p w:rsidR="00000000" w:rsidDel="00000000" w:rsidP="00000000" w:rsidRDefault="00000000" w:rsidRPr="00000000" w14:paraId="000000D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Alternativamente, poderá ser utilizada metodologia baseada no capital de giro necessário para suportar o fluxo do cronograma físico-financeiro.</w:t>
      </w:r>
    </w:p>
    <w:p w:rsidR="00000000" w:rsidDel="00000000" w:rsidP="00000000" w:rsidRDefault="00000000" w:rsidRPr="00000000" w14:paraId="000000D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Deverá constar justificativa do parâmetro adotado.</w:t>
      </w:r>
    </w:p>
    <w:p w:rsidR="00000000" w:rsidDel="00000000" w:rsidP="00000000" w:rsidRDefault="00000000" w:rsidRPr="00000000" w14:paraId="000000D7">
      <w:pPr>
        <w:pStyle w:val="Heading2"/>
        <w:rPr/>
      </w:pPr>
      <w:bookmarkStart w:colFirst="0" w:colLast="0" w:name="_3p1g1ftsz1iy" w:id="27"/>
      <w:bookmarkEnd w:id="27"/>
      <w:r w:rsidDel="00000000" w:rsidR="00000000" w:rsidRPr="00000000">
        <w:rPr>
          <w:rtl w:val="0"/>
        </w:rPr>
        <w:t xml:space="preserve">2.5. Parametrização da Remuneração Operacional</w:t>
      </w:r>
    </w:p>
    <w:p w:rsidR="00000000" w:rsidDel="00000000" w:rsidP="00000000" w:rsidRDefault="00000000" w:rsidRPr="00000000" w14:paraId="000000D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remuneração deverá:</w:t>
      </w:r>
    </w:p>
    <w:p w:rsidR="00000000" w:rsidDel="00000000" w:rsidP="00000000" w:rsidRDefault="00000000" w:rsidRPr="00000000" w14:paraId="000000D9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Ser compatível com padrões de mercado;</w:t>
      </w:r>
    </w:p>
    <w:p w:rsidR="00000000" w:rsidDel="00000000" w:rsidP="00000000" w:rsidRDefault="00000000" w:rsidRPr="00000000" w14:paraId="000000D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Considerar o grau de complexidade da obra; </w:t>
      </w:r>
    </w:p>
    <w:p w:rsidR="00000000" w:rsidDel="00000000" w:rsidP="00000000" w:rsidRDefault="00000000" w:rsidRPr="00000000" w14:paraId="000000DB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Refletir o nível de risco ordinário assumido.</w:t>
      </w:r>
    </w:p>
    <w:p w:rsidR="00000000" w:rsidDel="00000000" w:rsidP="00000000" w:rsidRDefault="00000000" w:rsidRPr="00000000" w14:paraId="000000D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Faixa usual de mercado para obras de edificações, 6% a 10%, sendo um parâmetro indicativo.</w:t>
      </w:r>
    </w:p>
    <w:p w:rsidR="00000000" w:rsidDel="00000000" w:rsidP="00000000" w:rsidRDefault="00000000" w:rsidRPr="00000000" w14:paraId="000000D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Percentuais superiores deverão ser tecnicamente fundamentados.</w:t>
      </w:r>
    </w:p>
    <w:p w:rsidR="00000000" w:rsidDel="00000000" w:rsidP="00000000" w:rsidRDefault="00000000" w:rsidRPr="00000000" w14:paraId="000000DE">
      <w:pPr>
        <w:pStyle w:val="Heading2"/>
        <w:rPr/>
      </w:pPr>
      <w:bookmarkStart w:colFirst="0" w:colLast="0" w:name="_lxlpfrwnt6sb" w:id="28"/>
      <w:bookmarkEnd w:id="28"/>
      <w:r w:rsidDel="00000000" w:rsidR="00000000" w:rsidRPr="00000000">
        <w:rPr>
          <w:rtl w:val="0"/>
        </w:rPr>
        <w:t xml:space="preserve">2.6. Tratamento Tributário</w:t>
      </w:r>
    </w:p>
    <w:p w:rsidR="00000000" w:rsidDel="00000000" w:rsidP="00000000" w:rsidRDefault="00000000" w:rsidRPr="00000000" w14:paraId="000000D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CPRB será considerada apenas quando vigente e aplicável ao setor específico da contratação, devendo a memória indicar o fundamento legal atualizado.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Style w:val="Heading1"/>
        <w:rPr/>
      </w:pPr>
      <w:bookmarkStart w:colFirst="0" w:colLast="0" w:name="_njkquxg7mib8" w:id="29"/>
      <w:bookmarkEnd w:id="29"/>
      <w:r w:rsidDel="00000000" w:rsidR="00000000" w:rsidRPr="00000000">
        <w:rPr>
          <w:rtl w:val="0"/>
        </w:rPr>
        <w:t xml:space="preserve">3. ESTRUTURA DA MEMÓRIA DE CÁLCULO</w:t>
      </w:r>
    </w:p>
    <w:p w:rsidR="00000000" w:rsidDel="00000000" w:rsidP="00000000" w:rsidRDefault="00000000" w:rsidRPr="00000000" w14:paraId="000000E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Style w:val="Heading2"/>
        <w:rPr/>
      </w:pPr>
      <w:bookmarkStart w:colFirst="0" w:colLast="0" w:name="_9me3rfqxkpps" w:id="30"/>
      <w:bookmarkEnd w:id="30"/>
      <w:r w:rsidDel="00000000" w:rsidR="00000000" w:rsidRPr="00000000">
        <w:rPr>
          <w:rtl w:val="0"/>
        </w:rPr>
        <w:t xml:space="preserve">3.1. Identificação</w:t>
      </w:r>
    </w:p>
    <w:p w:rsidR="00000000" w:rsidDel="00000000" w:rsidP="00000000" w:rsidRDefault="00000000" w:rsidRPr="00000000" w14:paraId="000000E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Objeto:</w:t>
        <w:br w:type="textWrapping"/>
        <w:t xml:space="preserve">Processo SEI:</w:t>
        <w:br w:type="textWrapping"/>
        <w:t xml:space="preserve">Tipologia:</w:t>
        <w:br w:type="textWrapping"/>
        <w:t xml:space="preserve">Regime de execução:</w:t>
        <w:br w:type="textWrapping"/>
        <w:t xml:space="preserve">Prazo contratual:</w:t>
        <w:br w:type="textWrapping"/>
        <w:t xml:space="preserve">Regime tributário estimado da contratada: </w:t>
      </w:r>
    </w:p>
    <w:p w:rsidR="00000000" w:rsidDel="00000000" w:rsidP="00000000" w:rsidRDefault="00000000" w:rsidRPr="00000000" w14:paraId="000000E5">
      <w:pPr>
        <w:pStyle w:val="Heading2"/>
        <w:rPr/>
      </w:pPr>
      <w:bookmarkStart w:colFirst="0" w:colLast="0" w:name="_3ri8h0na9dbg" w:id="31"/>
      <w:bookmarkEnd w:id="31"/>
      <w:r w:rsidDel="00000000" w:rsidR="00000000" w:rsidRPr="00000000">
        <w:rPr>
          <w:rtl w:val="0"/>
        </w:rPr>
        <w:t xml:space="preserve">3.2. Quadro de Composição</w:t>
      </w:r>
    </w:p>
    <w:p w:rsidR="00000000" w:rsidDel="00000000" w:rsidP="00000000" w:rsidRDefault="00000000" w:rsidRPr="00000000" w14:paraId="000000E6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77.4997788197825"/>
        <w:gridCol w:w="1762.0030080509603"/>
        <w:gridCol w:w="3384.566929133858"/>
        <w:gridCol w:w="1901.4420950190217"/>
        <w:tblGridChange w:id="0">
          <w:tblGrid>
            <w:gridCol w:w="1977.4997788197825"/>
            <w:gridCol w:w="1762.0030080509603"/>
            <w:gridCol w:w="3384.566929133858"/>
            <w:gridCol w:w="1901.4420950190217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7376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Parcela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7376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Percentual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7376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Fundamentação Técnica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07376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Referência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Administração Central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Riscos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Matriz de riscos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Seguros e Garantias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Despesas Financeiras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Cronograma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Remuneração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Mercado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Tributos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Legislação municipal/federal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BDI Final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Style w:val="Heading2"/>
        <w:spacing w:after="0" w:before="0" w:lineRule="auto"/>
        <w:jc w:val="both"/>
        <w:rPr/>
      </w:pPr>
      <w:bookmarkStart w:colFirst="0" w:colLast="0" w:name="_wn6r97ryt4cn" w:id="32"/>
      <w:bookmarkEnd w:id="32"/>
      <w:r w:rsidDel="00000000" w:rsidR="00000000" w:rsidRPr="00000000">
        <w:rPr>
          <w:rtl w:val="0"/>
        </w:rPr>
        <w:t xml:space="preserve">3.3. Análise de Compatibilidade com Parâmetros TCU</w:t>
      </w:r>
    </w:p>
    <w:p w:rsidR="00000000" w:rsidDel="00000000" w:rsidP="00000000" w:rsidRDefault="00000000" w:rsidRPr="00000000" w14:paraId="00000109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9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45"/>
        <w:gridCol w:w="1230"/>
        <w:gridCol w:w="2145"/>
        <w:gridCol w:w="1455"/>
        <w:gridCol w:w="1455"/>
        <w:gridCol w:w="1455"/>
        <w:tblGridChange w:id="0">
          <w:tblGrid>
            <w:gridCol w:w="1245"/>
            <w:gridCol w:w="1230"/>
            <w:gridCol w:w="2145"/>
            <w:gridCol w:w="1455"/>
            <w:gridCol w:w="1455"/>
            <w:gridCol w:w="145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Tipologia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1º Quartil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Média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3º Quartil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BDI Adotado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Situação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Caso o percentual ultrapasse o terceiro quartil, deverá ser apresentada justificativa técnica circunstanciada.</w:t>
      </w:r>
    </w:p>
    <w:p w:rsidR="00000000" w:rsidDel="00000000" w:rsidP="00000000" w:rsidRDefault="00000000" w:rsidRPr="00000000" w14:paraId="00000111">
      <w:pPr>
        <w:pStyle w:val="Heading2"/>
        <w:spacing w:after="0" w:before="0" w:lineRule="auto"/>
        <w:jc w:val="both"/>
        <w:rPr/>
      </w:pPr>
      <w:bookmarkStart w:colFirst="0" w:colLast="0" w:name="_r48a2m7ku396" w:id="33"/>
      <w:bookmarkEnd w:id="33"/>
      <w:r w:rsidDel="00000000" w:rsidR="00000000" w:rsidRPr="00000000">
        <w:rPr>
          <w:rtl w:val="0"/>
        </w:rPr>
        <w:t xml:space="preserve">3.4. Verificação de Conformidade (CHECK-LIST)</w:t>
      </w:r>
    </w:p>
    <w:p w:rsidR="00000000" w:rsidDel="00000000" w:rsidP="00000000" w:rsidRDefault="00000000" w:rsidRPr="00000000" w14:paraId="00000112">
      <w:pPr>
        <w:numPr>
          <w:ilvl w:val="0"/>
          <w:numId w:val="15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Administração local excluída do BDI</w:t>
      </w:r>
    </w:p>
    <w:p w:rsidR="00000000" w:rsidDel="00000000" w:rsidP="00000000" w:rsidRDefault="00000000" w:rsidRPr="00000000" w14:paraId="00000113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IRPJ/CSLL não discriminados</w:t>
      </w:r>
    </w:p>
    <w:p w:rsidR="00000000" w:rsidDel="00000000" w:rsidP="00000000" w:rsidRDefault="00000000" w:rsidRPr="00000000" w14:paraId="00000114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Serviços associados a fornecimento segregados</w:t>
      </w:r>
    </w:p>
    <w:p w:rsidR="00000000" w:rsidDel="00000000" w:rsidP="00000000" w:rsidRDefault="00000000" w:rsidRPr="00000000" w14:paraId="00000115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Compatibilidade com matriz de riscos</w:t>
      </w:r>
    </w:p>
    <w:p w:rsidR="00000000" w:rsidDel="00000000" w:rsidP="00000000" w:rsidRDefault="00000000" w:rsidRPr="00000000" w14:paraId="00000116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Compatibilidade com cronograma</w:t>
      </w:r>
    </w:p>
    <w:p w:rsidR="00000000" w:rsidDel="00000000" w:rsidP="00000000" w:rsidRDefault="00000000" w:rsidRPr="00000000" w14:paraId="00000117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Justificativa técnica do percentual</w:t>
      </w:r>
    </w:p>
    <w:p w:rsidR="00000000" w:rsidDel="00000000" w:rsidP="00000000" w:rsidRDefault="00000000" w:rsidRPr="00000000" w14:paraId="00000118">
      <w:pPr>
        <w:numPr>
          <w:ilvl w:val="0"/>
          <w:numId w:val="15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Fundamentação normativa indicada</w:t>
      </w:r>
    </w:p>
    <w:p w:rsidR="00000000" w:rsidDel="00000000" w:rsidP="00000000" w:rsidRDefault="00000000" w:rsidRPr="00000000" w14:paraId="00000119">
      <w:pPr>
        <w:pStyle w:val="Heading2"/>
        <w:spacing w:after="0" w:before="0" w:lineRule="auto"/>
        <w:jc w:val="both"/>
        <w:rPr/>
      </w:pPr>
      <w:bookmarkStart w:colFirst="0" w:colLast="0" w:name="_i53h8u5x8gfg" w:id="34"/>
      <w:bookmarkEnd w:id="34"/>
      <w:r w:rsidDel="00000000" w:rsidR="00000000" w:rsidRPr="00000000">
        <w:rPr>
          <w:rtl w:val="0"/>
        </w:rPr>
        <w:t xml:space="preserve">3.5. Demonstrativo Analítico do Cálculo</w:t>
      </w:r>
    </w:p>
    <w:p w:rsidR="00000000" w:rsidDel="00000000" w:rsidP="00000000" w:rsidRDefault="00000000" w:rsidRPr="00000000" w14:paraId="0000011A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5.511811023624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87.0060979219704"/>
        <w:gridCol w:w="2522.166834408857"/>
        <w:gridCol w:w="3019.814102184596"/>
        <w:gridCol w:w="1696.5247765081997"/>
        <w:tblGridChange w:id="0">
          <w:tblGrid>
            <w:gridCol w:w="1787.0060979219704"/>
            <w:gridCol w:w="2522.166834408857"/>
            <w:gridCol w:w="3019.814102184596"/>
            <w:gridCol w:w="1696.5247765081997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Parcela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Base de Cálculo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Percentual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Administração Central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Receita bruta estimada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Riscos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Matriz de riscos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Despesas Financeiras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PM e taxa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Remuneração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Mercado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Tributos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Legislação vigente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Style w:val="Heading1"/>
        <w:rPr/>
      </w:pPr>
      <w:bookmarkStart w:colFirst="0" w:colLast="0" w:name="_cfn1ur3q6i8c" w:id="35"/>
      <w:bookmarkEnd w:id="35"/>
      <w:r w:rsidDel="00000000" w:rsidR="00000000" w:rsidRPr="00000000">
        <w:rPr>
          <w:rtl w:val="0"/>
        </w:rPr>
        <w:t xml:space="preserve">4. DECLARAÇÃO TÉCNICA</w:t>
      </w:r>
    </w:p>
    <w:p w:rsidR="00000000" w:rsidDel="00000000" w:rsidP="00000000" w:rsidRDefault="00000000" w:rsidRPr="00000000" w14:paraId="0000013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Declara-se que:</w:t>
      </w:r>
    </w:p>
    <w:p w:rsidR="00000000" w:rsidDel="00000000" w:rsidP="00000000" w:rsidRDefault="00000000" w:rsidRPr="00000000" w14:paraId="00000136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composição atende à Lei de Licitações e Contratos Administrativos;</w:t>
      </w:r>
    </w:p>
    <w:p w:rsidR="00000000" w:rsidDel="00000000" w:rsidP="00000000" w:rsidRDefault="00000000" w:rsidRPr="00000000" w14:paraId="00000137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Observa integralmente o Acórdão 2622/2013 – Plenário do TCU;</w:t>
      </w:r>
    </w:p>
    <w:p w:rsidR="00000000" w:rsidDel="00000000" w:rsidP="00000000" w:rsidRDefault="00000000" w:rsidRPr="00000000" w14:paraId="00000138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Atende às diretrizes da Resolução CNJ nº 652/2025;</w:t>
      </w:r>
    </w:p>
    <w:p w:rsidR="00000000" w:rsidDel="00000000" w:rsidP="00000000" w:rsidRDefault="00000000" w:rsidRPr="00000000" w14:paraId="00000139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Reflete parâmetros de mercado;</w:t>
      </w:r>
    </w:p>
    <w:p w:rsidR="00000000" w:rsidDel="00000000" w:rsidP="00000000" w:rsidRDefault="00000000" w:rsidRPr="00000000" w14:paraId="0000013A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Não contém inclusão indevida de custos diretos.</w:t>
      </w:r>
    </w:p>
    <w:p w:rsidR="00000000" w:rsidDel="00000000" w:rsidP="00000000" w:rsidRDefault="00000000" w:rsidRPr="00000000" w14:paraId="000001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Vitória/ES, ____ de __________________ de 2026.</w:t>
      </w:r>
    </w:p>
    <w:p w:rsidR="00000000" w:rsidDel="00000000" w:rsidP="00000000" w:rsidRDefault="00000000" w:rsidRPr="00000000" w14:paraId="0000013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Responsável Técnico</w:t>
        <w:br w:type="textWrapping"/>
        <w:t xml:space="preserve">CREA/CAU n.º_________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5">
    <w:pPr>
      <w:jc w:val="center"/>
      <w:rPr/>
    </w:pPr>
    <w:r w:rsidDel="00000000" w:rsidR="00000000" w:rsidRPr="00000000">
      <w:rPr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de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D">
    <w:pPr>
      <w:spacing w:after="200" w:line="276" w:lineRule="auto"/>
      <w:jc w:val="both"/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6"/>
      <w:tblW w:w="9000.0" w:type="dxa"/>
      <w:jc w:val="left"/>
      <w:tblLayout w:type="fixed"/>
      <w:tblLook w:val="0600"/>
    </w:tblPr>
    <w:tblGrid>
      <w:gridCol w:w="1350"/>
      <w:gridCol w:w="7650"/>
      <w:tblGridChange w:id="0">
        <w:tblGrid>
          <w:gridCol w:w="1350"/>
          <w:gridCol w:w="7650"/>
        </w:tblGrid>
      </w:tblGridChange>
    </w:tblGrid>
    <w:tr>
      <w:trPr>
        <w:cantSplit w:val="0"/>
        <w:trHeight w:val="1137.1191406249998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8" w:val="single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3E">
          <w:pPr>
            <w:widowControl w:val="0"/>
            <w:spacing w:after="200" w:line="240" w:lineRule="auto"/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</w:rPr>
            <w:drawing>
              <wp:inline distB="114300" distT="114300" distL="114300" distR="114300">
                <wp:extent cx="665053" cy="7020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053" cy="70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8" w:val="single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3F">
          <w:pPr>
            <w:spacing w:line="276" w:lineRule="auto"/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Poder Judiciário</w:t>
          </w:r>
        </w:p>
        <w:p w:rsidR="00000000" w:rsidDel="00000000" w:rsidP="00000000" w:rsidRDefault="00000000" w:rsidRPr="00000000" w14:paraId="00000140">
          <w:pPr>
            <w:spacing w:line="276" w:lineRule="auto"/>
            <w:jc w:val="both"/>
            <w:rPr>
              <w:b w:val="1"/>
              <w:bCs w:val="1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sz w:val="18"/>
              <w:szCs w:val="18"/>
              <w:rtl w:val="0"/>
            </w:rPr>
            <w:t xml:space="preserve">Tribunal de Justiça</w:t>
          </w:r>
        </w:p>
        <w:p w:rsidR="00000000" w:rsidDel="00000000" w:rsidP="00000000" w:rsidRDefault="00000000" w:rsidRPr="00000000" w14:paraId="00000141">
          <w:pPr>
            <w:spacing w:line="276" w:lineRule="auto"/>
            <w:jc w:val="both"/>
            <w:rPr>
              <w:b w:val="1"/>
              <w:bCs w:val="1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sz w:val="18"/>
              <w:szCs w:val="18"/>
              <w:rtl w:val="0"/>
            </w:rPr>
            <w:t xml:space="preserve">do Estado do Espírito Santo</w:t>
          </w:r>
        </w:p>
        <w:p w:rsidR="00000000" w:rsidDel="00000000" w:rsidP="00000000" w:rsidRDefault="00000000" w:rsidRPr="00000000" w14:paraId="00000142">
          <w:pPr>
            <w:spacing w:line="276" w:lineRule="auto"/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Secretaria Geral / Núcleo de Planejamento das Contratações - NPC</w:t>
          </w:r>
        </w:p>
        <w:p w:rsidR="00000000" w:rsidDel="00000000" w:rsidP="00000000" w:rsidRDefault="00000000" w:rsidRPr="00000000" w14:paraId="00000143">
          <w:pPr>
            <w:spacing w:line="276" w:lineRule="auto"/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Secretaria de Engenharia, Gestão Predial e Manutenção de Equipamentos</w:t>
          </w:r>
        </w:p>
      </w:tc>
    </w:tr>
  </w:tbl>
  <w:p w:rsidR="00000000" w:rsidDel="00000000" w:rsidP="00000000" w:rsidRDefault="00000000" w:rsidRPr="00000000" w14:paraId="0000014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hd w:fill="073763" w:val="clear"/>
      <w:jc w:val="both"/>
    </w:pPr>
    <w:rPr>
      <w:b w:val="1"/>
      <w:bCs w:val="1"/>
      <w:color w:val="ffffff"/>
    </w:rPr>
  </w:style>
  <w:style w:type="paragraph" w:styleId="Heading2">
    <w:name w:val="heading 2"/>
    <w:basedOn w:val="Normal"/>
    <w:next w:val="Normal"/>
    <w:pPr>
      <w:keepNext w:val="1"/>
      <w:keepLines w:val="1"/>
      <w:shd w:fill="c9daf8" w:val="clear"/>
      <w:jc w:val="both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lineRule="auto"/>
      <w:jc w:val="both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240" w:before="240" w:lineRule="auto"/>
      <w:jc w:val="both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